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附件1</w:t>
      </w:r>
      <w:bookmarkStart w:id="0" w:name="_GoBack"/>
      <w:bookmarkEnd w:id="0"/>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hint="default" w:ascii="Times New Roman" w:hAnsi="Times New Roman" w:eastAsia="宋体" w:cs="Times New Roman"/>
          <w:lang w:val="en-US" w:eastAsia="zh-CN"/>
        </w:rPr>
      </w:pPr>
      <w:r>
        <w:rPr>
          <w:rFonts w:hint="eastAsia" w:ascii="Times New Roman" w:hAnsi="Times New Roman" w:cs="Times New Roman"/>
          <w:lang w:val="en-US" w:eastAsia="zh-CN"/>
        </w:rPr>
        <w:t>碳酸锂期货</w:t>
      </w:r>
      <w:r>
        <w:rPr>
          <w:rFonts w:hint="eastAsia" w:ascii="Times New Roman" w:hAnsi="Times New Roman" w:cs="Times New Roman"/>
        </w:rPr>
        <w:t>指定交割库</w:t>
      </w:r>
      <w:r>
        <w:rPr>
          <w:rFonts w:hint="eastAsia" w:ascii="Times New Roman" w:hAnsi="Times New Roman" w:cs="Times New Roman"/>
          <w:lang w:val="en-US" w:eastAsia="zh-CN"/>
        </w:rPr>
        <w:t>申请条件</w:t>
      </w: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jc w:val="both"/>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jc w:val="both"/>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r>
        <w:rPr>
          <w:rFonts w:ascii="Times New Roman" w:hAnsi="Times New Roman" w:cs="Times New Roma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201295</wp:posOffset>
            </wp:positionV>
            <wp:extent cx="1342390" cy="899795"/>
            <wp:effectExtent l="0" t="0" r="3810" b="190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42390" cy="899795"/>
                    </a:xfrm>
                    <a:prstGeom prst="rect">
                      <a:avLst/>
                    </a:prstGeom>
                    <a:noFill/>
                    <a:ln>
                      <a:noFill/>
                    </a:ln>
                  </pic:spPr>
                </pic:pic>
              </a:graphicData>
            </a:graphic>
          </wp:anchor>
        </w:drawing>
      </w:r>
    </w:p>
    <w:p>
      <w:pPr>
        <w:pStyle w:val="6"/>
        <w:rPr>
          <w:rFonts w:ascii="Times New Roman" w:hAnsi="Times New Roman" w:cs="Times New Roman"/>
        </w:rPr>
      </w:pPr>
    </w:p>
    <w:p>
      <w:pPr>
        <w:pStyle w:val="6"/>
        <w:rPr>
          <w:rFonts w:ascii="Times New Roman" w:hAnsi="Times New Roman" w:cs="Times New Roman"/>
        </w:rPr>
      </w:pPr>
    </w:p>
    <w:p>
      <w:pPr>
        <w:jc w:val="center"/>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2023</w:t>
      </w:r>
      <w:r>
        <w:rPr>
          <w:rFonts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kern w:val="2"/>
          <w:sz w:val="44"/>
          <w:szCs w:val="21"/>
          <w:highlight w:val="none"/>
          <w:lang w:val="en-US" w:eastAsia="zh-CN" w:bidi="ar-SA"/>
        </w:rPr>
      </w:pPr>
      <w:r>
        <w:rPr>
          <w:rFonts w:hint="eastAsia" w:ascii="方正小标宋简体" w:hAnsi="方正小标宋简体" w:eastAsia="方正小标宋简体" w:cs="方正小标宋简体"/>
          <w:b w:val="0"/>
          <w:kern w:val="2"/>
          <w:sz w:val="44"/>
          <w:szCs w:val="21"/>
          <w:highlight w:val="none"/>
          <w:lang w:val="en-US" w:eastAsia="zh-CN" w:bidi="ar-SA"/>
        </w:rPr>
        <w:t>碳酸锂期货指定交割库申请条件</w:t>
      </w:r>
    </w:p>
    <w:p>
      <w:pPr>
        <w:pStyle w:val="6"/>
        <w:keepNext w:val="0"/>
        <w:keepLines w:val="0"/>
        <w:pageBreakBefore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b w:val="0"/>
          <w:kern w:val="2"/>
          <w:sz w:val="32"/>
          <w:szCs w:val="32"/>
          <w:highlight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87"/>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pacing w:val="8"/>
          <w:position w:val="3"/>
          <w:sz w:val="32"/>
          <w:szCs w:val="32"/>
        </w:rPr>
        <w:t>具有市场监督管理部门颁发的营业执照</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0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指</w:t>
      </w:r>
      <w:r>
        <w:rPr>
          <w:rFonts w:hint="default" w:ascii="Times New Roman" w:hAnsi="Times New Roman" w:eastAsia="仿宋_GB2312" w:cs="Times New Roman"/>
          <w:spacing w:val="14"/>
          <w:sz w:val="32"/>
          <w:szCs w:val="32"/>
        </w:rPr>
        <w:t>定</w:t>
      </w:r>
      <w:r>
        <w:rPr>
          <w:rFonts w:hint="default" w:ascii="Times New Roman" w:hAnsi="Times New Roman" w:eastAsia="仿宋_GB2312" w:cs="Times New Roman"/>
          <w:spacing w:val="8"/>
          <w:sz w:val="32"/>
          <w:szCs w:val="32"/>
        </w:rPr>
        <w:t>交割库申请人应当为法人，具有市场监督管理部门</w:t>
      </w:r>
      <w:r>
        <w:rPr>
          <w:rFonts w:hint="default" w:ascii="Times New Roman" w:hAnsi="Times New Roman" w:eastAsia="仿宋_GB2312" w:cs="Times New Roman"/>
          <w:spacing w:val="16"/>
          <w:sz w:val="32"/>
          <w:szCs w:val="32"/>
        </w:rPr>
        <w:t>颁发</w:t>
      </w:r>
      <w:r>
        <w:rPr>
          <w:rFonts w:hint="default" w:ascii="Times New Roman" w:hAnsi="Times New Roman" w:eastAsia="仿宋_GB2312" w:cs="Times New Roman"/>
          <w:spacing w:val="11"/>
          <w:sz w:val="32"/>
          <w:szCs w:val="32"/>
        </w:rPr>
        <w:t>的</w:t>
      </w:r>
      <w:r>
        <w:rPr>
          <w:rFonts w:hint="default" w:ascii="Times New Roman" w:hAnsi="Times New Roman" w:eastAsia="仿宋_GB2312" w:cs="Times New Roman"/>
          <w:spacing w:val="8"/>
          <w:sz w:val="32"/>
          <w:szCs w:val="32"/>
        </w:rPr>
        <w:t>营业执照；</w:t>
      </w:r>
      <w:r>
        <w:rPr>
          <w:rFonts w:hint="default" w:ascii="Times New Roman" w:hAnsi="Times New Roman" w:eastAsia="仿宋_GB2312" w:cs="Times New Roman"/>
          <w:spacing w:val="8"/>
          <w:sz w:val="32"/>
          <w:szCs w:val="32"/>
          <w:u w:val="none"/>
        </w:rPr>
        <w:t>涉及许可经营的，应当依据法律、行政法</w:t>
      </w:r>
      <w:r>
        <w:rPr>
          <w:rFonts w:hint="default" w:ascii="Times New Roman" w:hAnsi="Times New Roman" w:eastAsia="仿宋_GB2312" w:cs="Times New Roman"/>
          <w:spacing w:val="10"/>
          <w:sz w:val="32"/>
          <w:szCs w:val="32"/>
          <w:u w:val="none"/>
        </w:rPr>
        <w:t>规</w:t>
      </w:r>
      <w:r>
        <w:rPr>
          <w:rFonts w:hint="default" w:ascii="Times New Roman" w:hAnsi="Times New Roman" w:eastAsia="仿宋_GB2312" w:cs="Times New Roman"/>
          <w:spacing w:val="8"/>
          <w:sz w:val="32"/>
          <w:szCs w:val="32"/>
          <w:u w:val="none"/>
        </w:rPr>
        <w:t>、国务院决定获得有关部门批准。</w:t>
      </w:r>
    </w:p>
    <w:p>
      <w:pPr>
        <w:keepNext w:val="0"/>
        <w:keepLines w:val="0"/>
        <w:pageBreakBefore w:val="0"/>
        <w:widowControl w:val="0"/>
        <w:kinsoku/>
        <w:wordWrap/>
        <w:overflowPunct/>
        <w:topLinePunct w:val="0"/>
        <w:autoSpaceDE/>
        <w:autoSpaceDN/>
        <w:bidi w:val="0"/>
        <w:adjustRightInd/>
        <w:snapToGrid/>
        <w:spacing w:line="560" w:lineRule="exact"/>
        <w:ind w:left="26" w:right="14" w:firstLine="663"/>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8"/>
          <w:sz w:val="32"/>
          <w:szCs w:val="32"/>
        </w:rPr>
        <w:t>二、</w:t>
      </w:r>
      <w:r>
        <w:rPr>
          <w:rFonts w:hint="default" w:ascii="Times New Roman" w:hAnsi="Times New Roman" w:eastAsia="仿宋_GB2312" w:cs="Times New Roman"/>
          <w:spacing w:val="8"/>
          <w:sz w:val="32"/>
          <w:szCs w:val="32"/>
          <w:u w:val="none"/>
        </w:rPr>
        <w:t>指定交割库申请人的净资产和注册资本须达到交</w:t>
      </w:r>
      <w:r>
        <w:rPr>
          <w:rFonts w:hint="default" w:ascii="Times New Roman" w:hAnsi="Times New Roman" w:eastAsia="仿宋_GB2312" w:cs="Times New Roman"/>
          <w:spacing w:val="4"/>
          <w:sz w:val="32"/>
          <w:szCs w:val="32"/>
          <w:u w:val="none"/>
        </w:rPr>
        <w:t>易</w:t>
      </w:r>
      <w:r>
        <w:rPr>
          <w:rFonts w:hint="default" w:ascii="Times New Roman" w:hAnsi="Times New Roman" w:eastAsia="仿宋_GB2312" w:cs="Times New Roman"/>
          <w:spacing w:val="18"/>
          <w:sz w:val="32"/>
          <w:szCs w:val="32"/>
          <w:u w:val="none"/>
        </w:rPr>
        <w:t>所</w:t>
      </w:r>
      <w:r>
        <w:rPr>
          <w:rFonts w:hint="default" w:ascii="Times New Roman" w:hAnsi="Times New Roman" w:eastAsia="仿宋_GB2312" w:cs="Times New Roman"/>
          <w:spacing w:val="10"/>
          <w:sz w:val="32"/>
          <w:szCs w:val="32"/>
          <w:u w:val="none"/>
        </w:rPr>
        <w:t>规定的数额</w:t>
      </w:r>
      <w:r>
        <w:rPr>
          <w:rFonts w:hint="default" w:ascii="Times New Roman" w:hAnsi="Times New Roman" w:eastAsia="仿宋_GB2312" w:cs="Times New Roman"/>
          <w:spacing w:val="10"/>
          <w:sz w:val="32"/>
          <w:szCs w:val="32"/>
        </w:rPr>
        <w:t>；注册资本或净资产不足10亿</w:t>
      </w:r>
      <w:r>
        <w:rPr>
          <w:rFonts w:hint="default" w:ascii="Times New Roman" w:hAnsi="Times New Roman" w:eastAsia="仿宋_GB2312" w:cs="Times New Roman"/>
          <w:spacing w:val="4"/>
          <w:sz w:val="32"/>
          <w:szCs w:val="32"/>
        </w:rPr>
        <w:t>元的，还应当提供有</w:t>
      </w:r>
      <w:r>
        <w:rPr>
          <w:rFonts w:hint="default" w:ascii="Times New Roman" w:hAnsi="Times New Roman" w:eastAsia="仿宋_GB2312" w:cs="Times New Roman"/>
          <w:spacing w:val="2"/>
          <w:sz w:val="32"/>
          <w:szCs w:val="32"/>
        </w:rPr>
        <w:t>关单位</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以下称担保单位</w:t>
      </w:r>
      <w:r>
        <w:rPr>
          <w:rFonts w:hint="eastAsia" w:ascii="Times New Roman" w:hAnsi="Times New Roman" w:eastAsia="仿宋_GB2312" w:cs="Times New Roman"/>
          <w:spacing w:val="2"/>
          <w:sz w:val="32"/>
          <w:szCs w:val="32"/>
          <w:lang w:eastAsia="zh-CN"/>
        </w:rPr>
        <w:t>）</w:t>
      </w:r>
      <w:r>
        <w:rPr>
          <w:rFonts w:hint="default" w:ascii="Times New Roman" w:hAnsi="Times New Roman" w:eastAsia="仿宋_GB2312" w:cs="Times New Roman"/>
          <w:spacing w:val="2"/>
          <w:sz w:val="32"/>
          <w:szCs w:val="32"/>
        </w:rPr>
        <w:t>出具的承担</w:t>
      </w:r>
      <w:r>
        <w:rPr>
          <w:rFonts w:hint="default" w:ascii="Times New Roman" w:hAnsi="Times New Roman" w:eastAsia="仿宋_GB2312" w:cs="Times New Roman"/>
          <w:spacing w:val="9"/>
          <w:sz w:val="32"/>
          <w:szCs w:val="32"/>
        </w:rPr>
        <w:t>连带责任保证的担保函</w:t>
      </w:r>
      <w:r>
        <w:rPr>
          <w:rFonts w:hint="default" w:ascii="Times New Roman" w:hAnsi="Times New Roman" w:eastAsia="仿宋_GB2312" w:cs="Times New Roman"/>
          <w:spacing w:val="7"/>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69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4"/>
          <w:sz w:val="32"/>
          <w:szCs w:val="32"/>
        </w:rPr>
        <w:t>三</w:t>
      </w:r>
      <w:r>
        <w:rPr>
          <w:rFonts w:hint="default" w:ascii="Times New Roman" w:hAnsi="Times New Roman" w:eastAsia="仿宋_GB2312" w:cs="Times New Roman"/>
          <w:spacing w:val="10"/>
          <w:sz w:val="32"/>
          <w:szCs w:val="32"/>
        </w:rPr>
        <w:t>、</w:t>
      </w:r>
      <w:r>
        <w:rPr>
          <w:rFonts w:hint="default" w:ascii="Times New Roman" w:hAnsi="Times New Roman" w:eastAsia="仿宋_GB2312" w:cs="Times New Roman"/>
          <w:spacing w:val="7"/>
          <w:sz w:val="32"/>
          <w:szCs w:val="32"/>
        </w:rPr>
        <w:t>财务状况良好，具有较强的抗风险能力；</w:t>
      </w:r>
    </w:p>
    <w:p>
      <w:pPr>
        <w:keepNext w:val="0"/>
        <w:keepLines w:val="0"/>
        <w:pageBreakBefore w:val="0"/>
        <w:widowControl w:val="0"/>
        <w:kinsoku/>
        <w:wordWrap/>
        <w:overflowPunct/>
        <w:topLinePunct w:val="0"/>
        <w:autoSpaceDE/>
        <w:autoSpaceDN/>
        <w:bidi w:val="0"/>
        <w:adjustRightInd/>
        <w:snapToGrid/>
        <w:spacing w:line="560" w:lineRule="exact"/>
        <w:ind w:left="30" w:right="13" w:firstLine="64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pacing w:val="16"/>
          <w:sz w:val="32"/>
          <w:szCs w:val="32"/>
          <w:u w:val="none"/>
        </w:rPr>
        <w:t>指定</w:t>
      </w:r>
      <w:r>
        <w:rPr>
          <w:rFonts w:hint="default" w:ascii="Times New Roman" w:hAnsi="Times New Roman" w:eastAsia="仿宋_GB2312" w:cs="Times New Roman"/>
          <w:spacing w:val="9"/>
          <w:sz w:val="32"/>
          <w:szCs w:val="32"/>
          <w:u w:val="none"/>
        </w:rPr>
        <w:t>交</w:t>
      </w:r>
      <w:r>
        <w:rPr>
          <w:rFonts w:hint="default" w:ascii="Times New Roman" w:hAnsi="Times New Roman" w:eastAsia="仿宋_GB2312" w:cs="Times New Roman"/>
          <w:spacing w:val="8"/>
          <w:sz w:val="32"/>
          <w:szCs w:val="32"/>
          <w:u w:val="none"/>
        </w:rPr>
        <w:t>割库申请人不存在影响持续经营的事项，没有逾</w:t>
      </w:r>
      <w:r>
        <w:rPr>
          <w:rFonts w:hint="default" w:ascii="Times New Roman" w:hAnsi="Times New Roman" w:eastAsia="仿宋_GB2312" w:cs="Times New Roman"/>
          <w:spacing w:val="16"/>
          <w:sz w:val="32"/>
          <w:szCs w:val="32"/>
          <w:u w:val="none"/>
        </w:rPr>
        <w:t>期</w:t>
      </w:r>
      <w:r>
        <w:rPr>
          <w:rFonts w:hint="default" w:ascii="Times New Roman" w:hAnsi="Times New Roman" w:eastAsia="仿宋_GB2312" w:cs="Times New Roman"/>
          <w:spacing w:val="11"/>
          <w:sz w:val="32"/>
          <w:szCs w:val="32"/>
          <w:u w:val="none"/>
        </w:rPr>
        <w:t>无</w:t>
      </w:r>
      <w:r>
        <w:rPr>
          <w:rFonts w:hint="default" w:ascii="Times New Roman" w:hAnsi="Times New Roman" w:eastAsia="仿宋_GB2312" w:cs="Times New Roman"/>
          <w:spacing w:val="8"/>
          <w:sz w:val="32"/>
          <w:szCs w:val="32"/>
          <w:u w:val="none"/>
        </w:rPr>
        <w:t>法清偿的债务，不存在巨额亏损，近两年</w:t>
      </w:r>
      <w:r>
        <w:rPr>
          <w:rFonts w:hint="eastAsia" w:ascii="Times New Roman" w:hAnsi="Times New Roman" w:eastAsia="仿宋_GB2312" w:cs="Times New Roman"/>
          <w:spacing w:val="8"/>
          <w:sz w:val="32"/>
          <w:szCs w:val="32"/>
          <w:u w:val="none"/>
          <w:lang w:eastAsia="zh-CN"/>
        </w:rPr>
        <w:t>（</w:t>
      </w:r>
      <w:r>
        <w:rPr>
          <w:rFonts w:hint="default" w:ascii="Times New Roman" w:hAnsi="Times New Roman" w:eastAsia="仿宋_GB2312" w:cs="Times New Roman"/>
          <w:spacing w:val="8"/>
          <w:sz w:val="32"/>
          <w:szCs w:val="32"/>
          <w:u w:val="none"/>
        </w:rPr>
        <w:t>成立不足两</w:t>
      </w:r>
      <w:r>
        <w:rPr>
          <w:rFonts w:hint="default" w:ascii="Times New Roman" w:hAnsi="Times New Roman" w:eastAsia="仿宋_GB2312" w:cs="Times New Roman"/>
          <w:spacing w:val="4"/>
          <w:sz w:val="32"/>
          <w:szCs w:val="32"/>
          <w:u w:val="none"/>
        </w:rPr>
        <w:t>年的，自成立之</w:t>
      </w:r>
      <w:r>
        <w:rPr>
          <w:rFonts w:hint="default" w:ascii="Times New Roman" w:hAnsi="Times New Roman" w:eastAsia="仿宋_GB2312" w:cs="Times New Roman"/>
          <w:spacing w:val="2"/>
          <w:sz w:val="32"/>
          <w:szCs w:val="32"/>
          <w:u w:val="none"/>
        </w:rPr>
        <w:t>日起</w:t>
      </w:r>
      <w:r>
        <w:rPr>
          <w:rFonts w:hint="eastAsia" w:ascii="Times New Roman" w:hAnsi="Times New Roman" w:eastAsia="仿宋_GB2312" w:cs="Times New Roman"/>
          <w:spacing w:val="2"/>
          <w:sz w:val="32"/>
          <w:szCs w:val="32"/>
          <w:u w:val="none"/>
          <w:lang w:eastAsia="zh-CN"/>
        </w:rPr>
        <w:t>）</w:t>
      </w:r>
      <w:r>
        <w:rPr>
          <w:rFonts w:hint="default" w:ascii="Times New Roman" w:hAnsi="Times New Roman" w:eastAsia="仿宋_GB2312" w:cs="Times New Roman"/>
          <w:spacing w:val="2"/>
          <w:sz w:val="32"/>
          <w:szCs w:val="32"/>
          <w:u w:val="none"/>
        </w:rPr>
        <w:t>由会计师事务所出具的审计报告均为</w:t>
      </w:r>
      <w:r>
        <w:rPr>
          <w:rFonts w:hint="default" w:ascii="Times New Roman" w:hAnsi="Times New Roman" w:eastAsia="仿宋_GB2312" w:cs="Times New Roman"/>
          <w:spacing w:val="16"/>
          <w:sz w:val="32"/>
          <w:szCs w:val="32"/>
          <w:u w:val="none"/>
        </w:rPr>
        <w:t>无保</w:t>
      </w:r>
      <w:r>
        <w:rPr>
          <w:rFonts w:hint="default" w:ascii="Times New Roman" w:hAnsi="Times New Roman" w:eastAsia="仿宋_GB2312" w:cs="Times New Roman"/>
          <w:spacing w:val="11"/>
          <w:sz w:val="32"/>
          <w:szCs w:val="32"/>
          <w:u w:val="none"/>
        </w:rPr>
        <w:t>留</w:t>
      </w:r>
      <w:r>
        <w:rPr>
          <w:rFonts w:hint="default" w:ascii="Times New Roman" w:hAnsi="Times New Roman" w:eastAsia="仿宋_GB2312" w:cs="Times New Roman"/>
          <w:spacing w:val="8"/>
          <w:sz w:val="32"/>
          <w:szCs w:val="32"/>
          <w:u w:val="none"/>
        </w:rPr>
        <w:t>意见</w:t>
      </w:r>
      <w:r>
        <w:rPr>
          <w:rFonts w:hint="default" w:ascii="Times New Roman" w:hAnsi="Times New Roman" w:eastAsia="仿宋_GB2312" w:cs="Times New Roman"/>
          <w:spacing w:val="6"/>
          <w:sz w:val="32"/>
          <w:szCs w:val="32"/>
          <w:u w:val="no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r>
        <w:rPr>
          <w:rFonts w:hint="default" w:ascii="Times New Roman" w:hAnsi="Times New Roman" w:eastAsia="仿宋_GB2312" w:cs="Times New Roman"/>
          <w:spacing w:val="12"/>
          <w:sz w:val="32"/>
          <w:szCs w:val="32"/>
        </w:rPr>
        <w:t>四</w:t>
      </w:r>
      <w:r>
        <w:rPr>
          <w:rFonts w:hint="default" w:ascii="Times New Roman" w:hAnsi="Times New Roman" w:eastAsia="仿宋_GB2312" w:cs="Times New Roman"/>
          <w:spacing w:val="7"/>
          <w:sz w:val="32"/>
          <w:szCs w:val="32"/>
        </w:rPr>
        <w:t>、指定交割库申请人具有良好的商业信誉，完善的仓</w:t>
      </w:r>
      <w:r>
        <w:rPr>
          <w:rFonts w:hint="default" w:ascii="Times New Roman" w:hAnsi="Times New Roman" w:eastAsia="仿宋_GB2312" w:cs="Times New Roman"/>
          <w:spacing w:val="3"/>
          <w:sz w:val="32"/>
          <w:szCs w:val="32"/>
        </w:rPr>
        <w:t>储管理规章制度，近三年内</w:t>
      </w:r>
      <w:r>
        <w:rPr>
          <w:rFonts w:hint="eastAsia" w:ascii="Times New Roman" w:hAnsi="Times New Roman" w:eastAsia="仿宋_GB2312" w:cs="Times New Roman"/>
          <w:spacing w:val="3"/>
          <w:sz w:val="32"/>
          <w:szCs w:val="32"/>
          <w:lang w:eastAsia="zh-CN"/>
        </w:rPr>
        <w:t>（</w:t>
      </w:r>
      <w:r>
        <w:rPr>
          <w:rFonts w:hint="default" w:ascii="Times New Roman" w:hAnsi="Times New Roman" w:eastAsia="仿宋_GB2312" w:cs="Times New Roman"/>
          <w:spacing w:val="3"/>
          <w:sz w:val="32"/>
          <w:szCs w:val="32"/>
        </w:rPr>
        <w:t>成立不足三年的，自成立之</w:t>
      </w:r>
      <w:r>
        <w:rPr>
          <w:rFonts w:hint="default" w:ascii="Times New Roman" w:hAnsi="Times New Roman" w:eastAsia="仿宋_GB2312" w:cs="Times New Roman"/>
          <w:spacing w:val="1"/>
          <w:sz w:val="32"/>
          <w:szCs w:val="32"/>
        </w:rPr>
        <w:t>日</w:t>
      </w:r>
      <w:r>
        <w:rPr>
          <w:rFonts w:hint="default" w:ascii="Times New Roman" w:hAnsi="Times New Roman" w:eastAsia="仿宋_GB2312" w:cs="Times New Roman"/>
          <w:spacing w:val="16"/>
          <w:sz w:val="32"/>
          <w:szCs w:val="32"/>
        </w:rPr>
        <w:t>起</w:t>
      </w:r>
      <w:r>
        <w:rPr>
          <w:rFonts w:hint="eastAsia" w:ascii="Times New Roman" w:hAnsi="Times New Roman" w:eastAsia="仿宋_GB2312" w:cs="Times New Roman"/>
          <w:spacing w:val="16"/>
          <w:sz w:val="32"/>
          <w:szCs w:val="32"/>
          <w:lang w:eastAsia="zh-CN"/>
        </w:rPr>
        <w:t>）</w:t>
      </w:r>
      <w:r>
        <w:rPr>
          <w:rFonts w:hint="default" w:ascii="Times New Roman" w:hAnsi="Times New Roman" w:eastAsia="仿宋_GB2312" w:cs="Times New Roman"/>
          <w:spacing w:val="8"/>
          <w:sz w:val="32"/>
          <w:szCs w:val="32"/>
        </w:rPr>
        <w:t>无严重违法违规行为、重大安全事故和被取消指定交割库</w:t>
      </w:r>
      <w:r>
        <w:rPr>
          <w:rFonts w:hint="default" w:ascii="Times New Roman" w:hAnsi="Times New Roman" w:eastAsia="仿宋_GB2312" w:cs="Times New Roman"/>
          <w:spacing w:val="7"/>
          <w:sz w:val="32"/>
          <w:szCs w:val="32"/>
        </w:rPr>
        <w:t>资格的记录。</w:t>
      </w:r>
    </w:p>
    <w:p>
      <w:pPr>
        <w:keepNext w:val="0"/>
        <w:keepLines w:val="0"/>
        <w:pageBreakBefore w:val="0"/>
        <w:widowControl w:val="0"/>
        <w:kinsoku/>
        <w:wordWrap/>
        <w:overflowPunct/>
        <w:topLinePunct w:val="0"/>
        <w:autoSpaceDE/>
        <w:autoSpaceDN/>
        <w:bidi w:val="0"/>
        <w:adjustRightInd/>
        <w:snapToGrid/>
        <w:spacing w:line="560" w:lineRule="exact"/>
        <w:ind w:left="27" w:right="91" w:firstLine="6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5"/>
          <w:sz w:val="32"/>
          <w:szCs w:val="32"/>
        </w:rPr>
        <w:t>五</w:t>
      </w:r>
      <w:r>
        <w:rPr>
          <w:rFonts w:hint="default" w:ascii="Times New Roman" w:hAnsi="Times New Roman" w:eastAsia="仿宋_GB2312" w:cs="Times New Roman"/>
          <w:spacing w:val="8"/>
          <w:sz w:val="32"/>
          <w:szCs w:val="32"/>
        </w:rPr>
        <w:t>、承认交易所的交易规则、交割管理办法、标准仓单</w:t>
      </w:r>
      <w:r>
        <w:rPr>
          <w:rFonts w:hint="default" w:ascii="Times New Roman" w:hAnsi="Times New Roman" w:eastAsia="仿宋_GB2312" w:cs="Times New Roman"/>
          <w:spacing w:val="16"/>
          <w:sz w:val="32"/>
          <w:szCs w:val="32"/>
        </w:rPr>
        <w:t>管</w:t>
      </w:r>
      <w:r>
        <w:rPr>
          <w:rFonts w:hint="default" w:ascii="Times New Roman" w:hAnsi="Times New Roman" w:eastAsia="仿宋_GB2312" w:cs="Times New Roman"/>
          <w:spacing w:val="9"/>
          <w:sz w:val="32"/>
          <w:szCs w:val="32"/>
        </w:rPr>
        <w:t>理</w:t>
      </w:r>
      <w:r>
        <w:rPr>
          <w:rFonts w:hint="default" w:ascii="Times New Roman" w:hAnsi="Times New Roman" w:eastAsia="仿宋_GB2312" w:cs="Times New Roman"/>
          <w:spacing w:val="8"/>
          <w:sz w:val="32"/>
          <w:szCs w:val="32"/>
        </w:rPr>
        <w:t>办法、指定交割仓库管理办法等；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4"/>
          <w:sz w:val="32"/>
          <w:szCs w:val="32"/>
          <w:u w:val="none"/>
        </w:rPr>
      </w:pPr>
      <w:r>
        <w:rPr>
          <w:rFonts w:hint="default" w:ascii="Times New Roman" w:hAnsi="Times New Roman" w:eastAsia="仿宋_GB2312" w:cs="Times New Roman"/>
          <w:spacing w:val="16"/>
          <w:sz w:val="32"/>
          <w:szCs w:val="32"/>
          <w:u w:val="none"/>
        </w:rPr>
        <w:t>承</w:t>
      </w:r>
      <w:r>
        <w:rPr>
          <w:rFonts w:hint="default" w:ascii="Times New Roman" w:hAnsi="Times New Roman" w:eastAsia="仿宋_GB2312" w:cs="Times New Roman"/>
          <w:spacing w:val="15"/>
          <w:sz w:val="32"/>
          <w:szCs w:val="32"/>
          <w:u w:val="none"/>
        </w:rPr>
        <w:t>认</w:t>
      </w:r>
      <w:r>
        <w:rPr>
          <w:rFonts w:hint="default" w:ascii="Times New Roman" w:hAnsi="Times New Roman" w:eastAsia="仿宋_GB2312" w:cs="Times New Roman"/>
          <w:spacing w:val="8"/>
          <w:sz w:val="32"/>
          <w:szCs w:val="32"/>
          <w:u w:val="none"/>
        </w:rPr>
        <w:t>并遵守</w:t>
      </w:r>
      <w:r>
        <w:rPr>
          <w:rFonts w:hint="eastAsia" w:ascii="Times New Roman" w:hAnsi="Times New Roman" w:eastAsia="仿宋_GB2312" w:cs="Times New Roman"/>
          <w:spacing w:val="8"/>
          <w:sz w:val="32"/>
          <w:szCs w:val="32"/>
          <w:u w:val="none"/>
          <w:lang w:eastAsia="zh-CN"/>
        </w:rPr>
        <w:t>《</w:t>
      </w:r>
      <w:r>
        <w:rPr>
          <w:rFonts w:hint="default" w:ascii="Times New Roman" w:hAnsi="Times New Roman" w:eastAsia="仿宋_GB2312" w:cs="Times New Roman"/>
          <w:spacing w:val="8"/>
          <w:sz w:val="32"/>
          <w:szCs w:val="32"/>
          <w:u w:val="none"/>
        </w:rPr>
        <w:t>广州期货交易所交易规则》《广州期货交</w:t>
      </w:r>
      <w:r>
        <w:rPr>
          <w:rFonts w:hint="default" w:ascii="Times New Roman" w:hAnsi="Times New Roman" w:eastAsia="仿宋_GB2312" w:cs="Times New Roman"/>
          <w:sz w:val="32"/>
          <w:szCs w:val="32"/>
          <w:u w:val="none"/>
        </w:rPr>
        <w:t xml:space="preserve"> </w:t>
      </w:r>
      <w:r>
        <w:rPr>
          <w:rFonts w:hint="default" w:ascii="Times New Roman" w:hAnsi="Times New Roman" w:eastAsia="仿宋_GB2312" w:cs="Times New Roman"/>
          <w:spacing w:val="18"/>
          <w:sz w:val="32"/>
          <w:szCs w:val="32"/>
          <w:u w:val="none"/>
        </w:rPr>
        <w:t>易</w:t>
      </w:r>
      <w:r>
        <w:rPr>
          <w:rFonts w:hint="default" w:ascii="Times New Roman" w:hAnsi="Times New Roman" w:eastAsia="仿宋_GB2312" w:cs="Times New Roman"/>
          <w:spacing w:val="15"/>
          <w:sz w:val="32"/>
          <w:szCs w:val="32"/>
          <w:u w:val="none"/>
        </w:rPr>
        <w:t>所</w:t>
      </w:r>
      <w:r>
        <w:rPr>
          <w:rFonts w:hint="default" w:ascii="Times New Roman" w:hAnsi="Times New Roman" w:eastAsia="仿宋_GB2312" w:cs="Times New Roman"/>
          <w:spacing w:val="9"/>
          <w:sz w:val="32"/>
          <w:szCs w:val="32"/>
          <w:u w:val="none"/>
        </w:rPr>
        <w:t>交割管理办法》《广州期货交易所标准仓单管理办法》</w:t>
      </w:r>
      <w:r>
        <w:rPr>
          <w:rFonts w:hint="default" w:ascii="Times New Roman" w:hAnsi="Times New Roman" w:eastAsia="仿宋_GB2312" w:cs="Times New Roman"/>
          <w:spacing w:val="14"/>
          <w:sz w:val="32"/>
          <w:szCs w:val="32"/>
          <w:u w:val="none"/>
        </w:rPr>
        <w:t>《</w:t>
      </w:r>
      <w:r>
        <w:rPr>
          <w:rFonts w:hint="default" w:ascii="Times New Roman" w:hAnsi="Times New Roman" w:eastAsia="仿宋_GB2312" w:cs="Times New Roman"/>
          <w:spacing w:val="9"/>
          <w:sz w:val="32"/>
          <w:szCs w:val="32"/>
          <w:u w:val="none"/>
        </w:rPr>
        <w:t>广州期货交易所指定交割仓库管理办法》及交易所各品种</w:t>
      </w:r>
      <w:r>
        <w:rPr>
          <w:rFonts w:hint="default" w:ascii="Times New Roman" w:hAnsi="Times New Roman" w:eastAsia="仿宋_GB2312" w:cs="Times New Roman"/>
          <w:spacing w:val="5"/>
          <w:sz w:val="32"/>
          <w:szCs w:val="32"/>
          <w:u w:val="none"/>
        </w:rPr>
        <w:t>细</w:t>
      </w:r>
      <w:r>
        <w:rPr>
          <w:rFonts w:hint="default" w:ascii="Times New Roman" w:hAnsi="Times New Roman" w:eastAsia="仿宋_GB2312" w:cs="Times New Roman"/>
          <w:spacing w:val="4"/>
          <w:sz w:val="32"/>
          <w:szCs w:val="32"/>
          <w:u w:val="none"/>
        </w:rPr>
        <w:t>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2"/>
          <w:sz w:val="32"/>
          <w:szCs w:val="32"/>
        </w:rPr>
        <w:t>六</w:t>
      </w:r>
      <w:r>
        <w:rPr>
          <w:rFonts w:hint="default" w:ascii="Times New Roman" w:hAnsi="Times New Roman" w:eastAsia="仿宋_GB2312" w:cs="Times New Roman"/>
          <w:spacing w:val="8"/>
          <w:sz w:val="32"/>
          <w:szCs w:val="32"/>
        </w:rPr>
        <w:t>、</w:t>
      </w:r>
      <w:r>
        <w:rPr>
          <w:rFonts w:hint="default" w:ascii="Times New Roman" w:hAnsi="Times New Roman" w:eastAsia="仿宋_GB2312" w:cs="Times New Roman"/>
          <w:spacing w:val="8"/>
          <w:sz w:val="32"/>
          <w:szCs w:val="32"/>
          <w:highlight w:val="none"/>
        </w:rPr>
        <w:t>仓库的主要管理人员应当具有仓储管理经验，并有</w:t>
      </w:r>
      <w:r>
        <w:rPr>
          <w:rFonts w:hint="default" w:ascii="Times New Roman" w:hAnsi="Times New Roman" w:eastAsia="仿宋_GB2312" w:cs="Times New Roman"/>
          <w:spacing w:val="7"/>
          <w:sz w:val="32"/>
          <w:szCs w:val="32"/>
          <w:highlight w:val="none"/>
        </w:rPr>
        <w:t>一支训练有素的专业管理队伍</w:t>
      </w:r>
      <w:r>
        <w:rPr>
          <w:rFonts w:hint="default" w:ascii="Times New Roman" w:hAnsi="Times New Roman" w:eastAsia="仿宋_GB2312" w:cs="Times New Roman"/>
          <w:spacing w:val="5"/>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18" w:right="81" w:firstLine="651"/>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1"/>
          <w:sz w:val="32"/>
          <w:szCs w:val="32"/>
        </w:rPr>
        <w:t>七、指定交割库申请人的堆场、库房</w:t>
      </w:r>
      <w:r>
        <w:rPr>
          <w:rFonts w:hint="default" w:ascii="Times New Roman" w:hAnsi="Times New Roman" w:eastAsia="仿宋_GB2312" w:cs="Times New Roman"/>
          <w:sz w:val="32"/>
          <w:szCs w:val="32"/>
        </w:rPr>
        <w:t>应当具有一定规模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有储存碳酸锂的条件。仓储管理电子系统、设施、设备完好齐全，计量符合规定要求，有良好的交通运输条件。</w:t>
      </w:r>
    </w:p>
    <w:p>
      <w:pPr>
        <w:keepNext w:val="0"/>
        <w:keepLines w:val="0"/>
        <w:pageBreakBefore w:val="0"/>
        <w:widowControl w:val="0"/>
        <w:kinsoku/>
        <w:wordWrap/>
        <w:overflowPunct/>
        <w:topLinePunct w:val="0"/>
        <w:autoSpaceDE/>
        <w:autoSpaceDN/>
        <w:bidi w:val="0"/>
        <w:adjustRightInd/>
        <w:snapToGrid/>
        <w:spacing w:line="560" w:lineRule="exact"/>
        <w:ind w:left="21" w:right="91" w:firstLine="65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16"/>
          <w:sz w:val="32"/>
          <w:szCs w:val="32"/>
        </w:rPr>
        <w:t>八</w:t>
      </w:r>
      <w:r>
        <w:rPr>
          <w:rFonts w:hint="default" w:ascii="Times New Roman" w:hAnsi="Times New Roman" w:eastAsia="仿宋_GB2312" w:cs="Times New Roman"/>
          <w:spacing w:val="12"/>
          <w:sz w:val="32"/>
          <w:szCs w:val="32"/>
        </w:rPr>
        <w:t>、</w:t>
      </w:r>
      <w:r>
        <w:rPr>
          <w:rFonts w:hint="default" w:ascii="Times New Roman" w:hAnsi="Times New Roman" w:eastAsia="仿宋_GB2312" w:cs="Times New Roman"/>
          <w:spacing w:val="8"/>
          <w:sz w:val="32"/>
          <w:szCs w:val="32"/>
        </w:rPr>
        <w:t>指定交割库申请人应当具有严格、完善的商品出入</w:t>
      </w:r>
      <w:r>
        <w:rPr>
          <w:rFonts w:hint="default" w:ascii="Times New Roman" w:hAnsi="Times New Roman" w:eastAsia="仿宋_GB2312" w:cs="Times New Roman"/>
          <w:spacing w:val="13"/>
          <w:sz w:val="32"/>
          <w:szCs w:val="32"/>
        </w:rPr>
        <w:t>库</w:t>
      </w:r>
      <w:r>
        <w:rPr>
          <w:rFonts w:hint="default" w:ascii="Times New Roman" w:hAnsi="Times New Roman" w:eastAsia="仿宋_GB2312" w:cs="Times New Roman"/>
          <w:spacing w:val="9"/>
          <w:sz w:val="32"/>
          <w:szCs w:val="32"/>
        </w:rPr>
        <w:t>制度、商品检化验制度、库存商品管理制度等。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r>
        <w:rPr>
          <w:rFonts w:hint="default" w:ascii="Times New Roman" w:hAnsi="Times New Roman" w:eastAsia="仿宋_GB2312" w:cs="Times New Roman"/>
          <w:spacing w:val="16"/>
          <w:sz w:val="32"/>
          <w:szCs w:val="32"/>
        </w:rPr>
        <w:t>九</w:t>
      </w:r>
      <w:r>
        <w:rPr>
          <w:rFonts w:hint="default" w:ascii="Times New Roman" w:hAnsi="Times New Roman" w:eastAsia="仿宋_GB2312" w:cs="Times New Roman"/>
          <w:spacing w:val="14"/>
          <w:sz w:val="32"/>
          <w:szCs w:val="32"/>
        </w:rPr>
        <w:t>、</w:t>
      </w:r>
      <w:r>
        <w:rPr>
          <w:rFonts w:hint="default" w:ascii="Times New Roman" w:hAnsi="Times New Roman" w:eastAsia="仿宋_GB2312" w:cs="Times New Roman"/>
          <w:spacing w:val="8"/>
          <w:sz w:val="32"/>
          <w:szCs w:val="32"/>
        </w:rPr>
        <w:t>指定交割库申请人应当满足交易所根据品种特性或</w:t>
      </w:r>
      <w:r>
        <w:rPr>
          <w:rFonts w:hint="default" w:ascii="Times New Roman" w:hAnsi="Times New Roman" w:eastAsia="仿宋_GB2312" w:cs="Times New Roman"/>
          <w:spacing w:val="14"/>
          <w:sz w:val="32"/>
          <w:szCs w:val="32"/>
        </w:rPr>
        <w:t>特</w:t>
      </w:r>
      <w:r>
        <w:rPr>
          <w:rFonts w:hint="default" w:ascii="Times New Roman" w:hAnsi="Times New Roman" w:eastAsia="仿宋_GB2312" w:cs="Times New Roman"/>
          <w:spacing w:val="7"/>
          <w:sz w:val="32"/>
          <w:szCs w:val="32"/>
        </w:rPr>
        <w:t>殊情况要求的其他条件。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附件2</w:t>
      </w: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hint="default" w:ascii="Times New Roman" w:hAnsi="Times New Roman" w:eastAsia="宋体" w:cs="Times New Roman"/>
          <w:lang w:val="en-US" w:eastAsia="zh-CN"/>
        </w:rPr>
      </w:pPr>
      <w:r>
        <w:rPr>
          <w:rFonts w:hint="eastAsia" w:ascii="Times New Roman" w:hAnsi="Times New Roman" w:cs="Times New Roman"/>
          <w:lang w:val="en-US" w:eastAsia="zh-CN"/>
        </w:rPr>
        <w:t>碳酸锂期货</w:t>
      </w:r>
      <w:r>
        <w:rPr>
          <w:rFonts w:hint="eastAsia" w:ascii="Times New Roman" w:hAnsi="Times New Roman" w:cs="Times New Roman"/>
        </w:rPr>
        <w:t>指定交割库</w:t>
      </w:r>
      <w:r>
        <w:rPr>
          <w:rFonts w:hint="eastAsia" w:ascii="Times New Roman" w:hAnsi="Times New Roman" w:cs="Times New Roman"/>
          <w:lang w:val="en-US" w:eastAsia="zh-CN"/>
        </w:rPr>
        <w:t>申请材料填写说明</w:t>
      </w: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jc w:val="both"/>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r>
        <w:rPr>
          <w:rFonts w:ascii="Times New Roman" w:hAnsi="Times New Roman" w:cs="Times New Roman"/>
        </w:rPr>
        <w:drawing>
          <wp:anchor distT="0" distB="0" distL="114300" distR="114300" simplePos="0" relativeHeight="251660288" behindDoc="0" locked="0" layoutInCell="1" allowOverlap="1">
            <wp:simplePos x="0" y="0"/>
            <wp:positionH relativeFrom="column">
              <wp:posOffset>1965960</wp:posOffset>
            </wp:positionH>
            <wp:positionV relativeFrom="paragraph">
              <wp:posOffset>201295</wp:posOffset>
            </wp:positionV>
            <wp:extent cx="1342390" cy="899795"/>
            <wp:effectExtent l="0" t="0" r="3810" b="190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42390" cy="899795"/>
                    </a:xfrm>
                    <a:prstGeom prst="rect">
                      <a:avLst/>
                    </a:prstGeom>
                    <a:noFill/>
                    <a:ln>
                      <a:noFill/>
                    </a:ln>
                  </pic:spPr>
                </pic:pic>
              </a:graphicData>
            </a:graphic>
          </wp:anchor>
        </w:drawing>
      </w:r>
    </w:p>
    <w:p>
      <w:pPr>
        <w:pStyle w:val="6"/>
        <w:rPr>
          <w:rFonts w:ascii="Times New Roman" w:hAnsi="Times New Roman" w:cs="Times New Roman"/>
        </w:rPr>
      </w:pPr>
    </w:p>
    <w:p>
      <w:pPr>
        <w:pStyle w:val="6"/>
        <w:rPr>
          <w:rFonts w:ascii="Times New Roman" w:hAnsi="Times New Roman" w:cs="Times New Roman"/>
        </w:rPr>
      </w:pPr>
    </w:p>
    <w:p>
      <w:pPr>
        <w:jc w:val="center"/>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2023</w:t>
      </w:r>
      <w:r>
        <w:rPr>
          <w:rFonts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pPr>
        <w:pStyle w:val="7"/>
        <w:rPr>
          <w:rFonts w:cs="Times New Roman"/>
        </w:rPr>
      </w:pPr>
    </w:p>
    <w:p>
      <w:pPr>
        <w:pStyle w:val="7"/>
        <w:rPr>
          <w:rFonts w:cs="Times New Roman"/>
        </w:rPr>
      </w:pPr>
    </w:p>
    <w:p>
      <w:pPr>
        <w:pStyle w:val="7"/>
        <w:rPr>
          <w:rFonts w:cs="Times New Roman"/>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 w:val="0"/>
          <w:kern w:val="2"/>
          <w:sz w:val="44"/>
          <w:szCs w:val="21"/>
          <w:highlight w:val="none"/>
          <w:lang w:val="en-US" w:eastAsia="zh-CN" w:bidi="ar-SA"/>
        </w:rPr>
      </w:pPr>
      <w:r>
        <w:rPr>
          <w:rFonts w:hint="eastAsia" w:ascii="方正小标宋简体" w:hAnsi="方正小标宋简体" w:eastAsia="方正小标宋简体" w:cs="方正小标宋简体"/>
          <w:b w:val="0"/>
          <w:kern w:val="2"/>
          <w:sz w:val="44"/>
          <w:szCs w:val="21"/>
          <w:highlight w:val="none"/>
          <w:lang w:val="en-US" w:eastAsia="zh-CN" w:bidi="ar-SA"/>
        </w:rPr>
        <w:t>碳酸锂期货指定交割库申请材料填写说明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黑体" w:cs="Times New Roman"/>
          <w:kern w:val="0"/>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before="101" w:line="560" w:lineRule="exact"/>
        <w:ind w:left="25" w:right="95" w:firstLine="647"/>
        <w:textAlignment w:val="auto"/>
        <w:rPr>
          <w:rFonts w:hint="eastAsia" w:ascii="Times New Roman" w:hAnsi="Times New Roman" w:eastAsia="黑体" w:cs="Times New Roman"/>
          <w:kern w:val="0"/>
          <w:sz w:val="32"/>
          <w:szCs w:val="32"/>
          <w:highlight w:val="none"/>
          <w:lang w:val="en-US" w:eastAsia="zh-CN" w:bidi="ar-SA"/>
        </w:rPr>
      </w:pPr>
      <w:r>
        <w:rPr>
          <w:rFonts w:ascii="黑体" w:hAnsi="黑体" w:eastAsia="黑体" w:cs="黑体"/>
          <w:spacing w:val="16"/>
          <w:sz w:val="32"/>
          <w:szCs w:val="32"/>
        </w:rPr>
        <w:t>一</w:t>
      </w:r>
      <w:r>
        <w:rPr>
          <w:rFonts w:ascii="黑体" w:hAnsi="黑体" w:eastAsia="黑体" w:cs="黑体"/>
          <w:spacing w:val="15"/>
          <w:sz w:val="32"/>
          <w:szCs w:val="32"/>
        </w:rPr>
        <w:t>、</w:t>
      </w:r>
      <w:r>
        <w:rPr>
          <w:rFonts w:ascii="黑体" w:hAnsi="黑体" w:eastAsia="黑体" w:cs="黑体"/>
          <w:spacing w:val="8"/>
          <w:sz w:val="32"/>
          <w:szCs w:val="32"/>
        </w:rPr>
        <w:t>申请成为</w:t>
      </w:r>
      <w:r>
        <w:rPr>
          <w:rFonts w:hint="eastAsia" w:ascii="黑体" w:hAnsi="黑体" w:eastAsia="黑体" w:cs="黑体"/>
          <w:spacing w:val="8"/>
          <w:sz w:val="32"/>
          <w:szCs w:val="32"/>
          <w:lang w:eastAsia="zh-CN"/>
        </w:rPr>
        <w:t>碳酸锂</w:t>
      </w:r>
      <w:r>
        <w:rPr>
          <w:rFonts w:ascii="黑体" w:hAnsi="黑体" w:eastAsia="黑体" w:cs="黑体"/>
          <w:spacing w:val="8"/>
          <w:sz w:val="32"/>
          <w:szCs w:val="32"/>
        </w:rPr>
        <w:t>期货指定交割库的，申请人应当提</w:t>
      </w:r>
      <w:r>
        <w:rPr>
          <w:rFonts w:ascii="黑体" w:hAnsi="黑体" w:eastAsia="黑体" w:cs="黑体"/>
          <w:spacing w:val="6"/>
          <w:sz w:val="32"/>
          <w:szCs w:val="32"/>
        </w:rPr>
        <w:t>供如下材料：</w:t>
      </w:r>
    </w:p>
    <w:p>
      <w:pPr>
        <w:keepNext w:val="0"/>
        <w:keepLines w:val="0"/>
        <w:pageBreakBefore w:val="0"/>
        <w:widowControl w:val="0"/>
        <w:kinsoku/>
        <w:wordWrap/>
        <w:overflowPunct/>
        <w:topLinePunct w:val="0"/>
        <w:autoSpaceDE/>
        <w:autoSpaceDN/>
        <w:bidi w:val="0"/>
        <w:adjustRightInd/>
        <w:snapToGrid/>
        <w:spacing w:line="560" w:lineRule="exact"/>
        <w:ind w:right="91" w:firstLine="668" w:firstLineChars="200"/>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申请书，内容应当包括：</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1.</w:t>
      </w:r>
      <w:r>
        <w:rPr>
          <w:rFonts w:hint="eastAsia" w:ascii="Times New Roman" w:hAnsi="Times New Roman" w:eastAsia="仿宋_GB2312" w:cs="Times New Roman"/>
          <w:spacing w:val="7"/>
          <w:sz w:val="32"/>
          <w:szCs w:val="32"/>
          <w:highlight w:val="none"/>
          <w:lang w:val="en-US" w:eastAsia="zh-CN"/>
        </w:rPr>
        <w:t xml:space="preserve"> </w:t>
      </w:r>
      <w:r>
        <w:rPr>
          <w:rFonts w:hint="default" w:ascii="Times New Roman" w:hAnsi="Times New Roman" w:eastAsia="仿宋_GB2312" w:cs="Times New Roman"/>
          <w:spacing w:val="7"/>
          <w:sz w:val="32"/>
          <w:szCs w:val="32"/>
          <w:highlight w:val="none"/>
        </w:rPr>
        <w:t>申请品种和申请</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期货指定交割库类型；</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2.</w:t>
      </w:r>
      <w:r>
        <w:rPr>
          <w:rFonts w:hint="eastAsia" w:ascii="Times New Roman" w:hAnsi="Times New Roman" w:eastAsia="仿宋_GB2312" w:cs="Times New Roman"/>
          <w:spacing w:val="7"/>
          <w:sz w:val="32"/>
          <w:szCs w:val="32"/>
          <w:highlight w:val="none"/>
          <w:lang w:val="en-US" w:eastAsia="zh-CN"/>
        </w:rPr>
        <w:t xml:space="preserve"> </w:t>
      </w:r>
      <w:r>
        <w:rPr>
          <w:rFonts w:hint="default" w:ascii="Times New Roman" w:hAnsi="Times New Roman" w:eastAsia="仿宋_GB2312" w:cs="Times New Roman"/>
          <w:spacing w:val="7"/>
          <w:sz w:val="32"/>
          <w:szCs w:val="32"/>
          <w:highlight w:val="none"/>
        </w:rPr>
        <w:t>申请人基本情况，包括企业性质、注册资本、净资产、股权结构、实际控制人等；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3. 存货地点的运输条件及装卸能力，包括地理位置、相互距离、主要入出库运输方式；有无自有码头、至最近港口距离、码头最大靠泊能力、码头泊位数；有无铁路专用线、库内专用线数量及长度、至最近车站距离；周边高速公路情况；不同运输方式下的日入出库速度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4. 存货地点的计量能力，包括计量设施种类、规格、数量及检定情况等；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5. 是否具备相关品种的检验能力，有检验能力的，说明可检验指标、检验周期、收费标准及检验设施、检验资质情况等；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r>
        <w:rPr>
          <w:rFonts w:hint="default" w:ascii="Times New Roman" w:hAnsi="Times New Roman" w:eastAsia="仿宋_GB2312" w:cs="Times New Roman"/>
          <w:spacing w:val="7"/>
          <w:sz w:val="32"/>
          <w:szCs w:val="32"/>
          <w:highlight w:val="none"/>
        </w:rPr>
        <w:t>6. 租赁情况说明，包括土地、地上设施</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包括房屋等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、生产加工线</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如有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是否存在租赁情况</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存在租赁情况的，应当说明土地使用权人，地上设施、生产加工线</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如有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所有权人、租赁方式、租赁期限等；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7. 存货地点周边区域相应品种的现货生产、加工、消费、物流情况说明；</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8. 是否具有期货交割业务经历，有相关经历的，说明涉及品种及期货交割业务开展的情况；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9. 申请指定保税交割库的，应当说明其保税业务开展情况；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10. 最近三年</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成立不足三年的，自成立之日起</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相关品种中转量、加工量、贸易量的说明，包括中转量、加工量、贸易量最大的前10位客户的客户名称、中转量、加工量或贸易量信息；</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11. 所有库区的总库容、总库房面积、</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期货指定交割库拟提供的最低保障库容及用于期货交割的面积等情况。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eastAsia="zh-CN"/>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二</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市场监督管理部门颁发的营业执照(副本)复印件</w:t>
      </w: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三证合一</w:t>
      </w:r>
      <w:r>
        <w:rPr>
          <w:rFonts w:hint="eastAsia" w:ascii="Times New Roman" w:hAnsi="Times New Roman" w:eastAsia="仿宋_GB2312" w:cs="Times New Roman"/>
          <w:spacing w:val="7"/>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b/>
          <w:bCs/>
          <w:spacing w:val="7"/>
          <w:sz w:val="32"/>
          <w:szCs w:val="32"/>
          <w:highlight w:val="none"/>
          <w:lang w:val="en-US" w:eastAsia="zh-CN"/>
        </w:rPr>
      </w:pPr>
      <w:r>
        <w:rPr>
          <w:rFonts w:hint="eastAsia" w:ascii="Times New Roman" w:hAnsi="Times New Roman" w:eastAsia="仿宋_GB2312" w:cs="Times New Roman"/>
          <w:b/>
          <w:bCs/>
          <w:spacing w:val="7"/>
          <w:sz w:val="32"/>
          <w:szCs w:val="32"/>
          <w:highlight w:val="none"/>
          <w:lang w:val="en-US" w:eastAsia="zh-CN"/>
        </w:rPr>
        <w:t>实地检查时需查验正本。</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市场监督管理部门出具的工商查询卡或国家企业信用信息公示系统公示的信息资料；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四</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涉及许可经营的，应当提供依据法律、行政法规、国务院决定获得有关部门批准的相关证明文件；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五</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会计师事务所或交易所认可的审计部门出具的近两年</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成立不足两年的，自成立之日起</w:t>
      </w:r>
      <w:r>
        <w:rPr>
          <w:rFonts w:hint="eastAsia" w:ascii="Times New Roman" w:hAnsi="Times New Roman" w:eastAsia="仿宋_GB2312" w:cs="Times New Roman"/>
          <w:spacing w:val="7"/>
          <w:sz w:val="32"/>
          <w:szCs w:val="32"/>
          <w:highlight w:val="none"/>
          <w:lang w:eastAsia="zh-CN"/>
        </w:rPr>
        <w:t>）的</w:t>
      </w:r>
      <w:r>
        <w:rPr>
          <w:rFonts w:hint="default" w:ascii="Times New Roman" w:hAnsi="Times New Roman" w:eastAsia="仿宋_GB2312" w:cs="Times New Roman"/>
          <w:spacing w:val="7"/>
          <w:sz w:val="32"/>
          <w:szCs w:val="32"/>
          <w:highlight w:val="none"/>
        </w:rPr>
        <w:t>审计报告</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原件或复印件，提供复印件的需要在首页、尾页及骑缝处分别加盖会计师事务所公章</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新设立企业须提供验资报告</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原件或复印件，提供复印件的需要在首页、尾页及骑缝处分别加盖会计师事务所公章和申请人公章</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申请人为企业集团母公司的，审计报告中所列已审会计报表应当包括母公司的个别会计报表和企业集团的合并会计报表；</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六</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申请单位董事会或股东会决议等符合申请单位章程等内部决策程序要求的同意申请</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期货指定交割库的决策文件；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eastAsia="zh-CN"/>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七</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土地和地上设施等相关权利证明材料的复印件； 如果土地、地上设施为租赁的，还应当提供租赁协议复印件</w:t>
      </w:r>
      <w:r>
        <w:rPr>
          <w:rFonts w:hint="eastAsia" w:ascii="Times New Roman" w:hAnsi="Times New Roman" w:eastAsia="仿宋_GB2312" w:cs="Times New Roman"/>
          <w:spacing w:val="7"/>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val="en-US" w:eastAsia="zh-CN"/>
        </w:rPr>
        <w:t>土地证、房产证、他权证、附记、宗地图需全部复印，请勿遮盖；</w:t>
      </w:r>
      <w:r>
        <w:rPr>
          <w:rFonts w:hint="eastAsia" w:ascii="Times New Roman" w:hAnsi="Times New Roman" w:eastAsia="仿宋_GB2312" w:cs="Times New Roman"/>
          <w:b/>
          <w:bCs/>
          <w:spacing w:val="7"/>
          <w:sz w:val="32"/>
          <w:szCs w:val="32"/>
          <w:highlight w:val="none"/>
          <w:lang w:val="en-US" w:eastAsia="zh-CN"/>
        </w:rPr>
        <w:t>实地检查时需查验正本。</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八</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申请人有码头、铁路专用线的，应当提供码头、 铁路专用线使用证明的复印件；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九</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消防安全证明的复印件；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计量检验部门颁发的交割商品检重设备(汽车衡、 储罐等) 年度检定合格证书的复印件；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仓房平面图、货位图，需标注</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期货交割区域；</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十二</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仓库管理制度及简介，主要管理人员具备仓储管理经验的证明材料；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十三</w:t>
      </w: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关于对外抵押、担保的情况说明</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val="en-US" w:eastAsia="zh-CN"/>
        </w:rPr>
        <w:t>1. 无对外抵押、担保的，请提供无抵押、担保书面说明，加盖公章，填写日期。</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val="en-US" w:eastAsia="zh-CN"/>
        </w:rPr>
        <w:t>2. 有对外抵押、担保的，请提供说明抵押、担保权人，抵押、担保期限、金额等情况，加盖公章，填写日期。</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w:t>
      </w:r>
      <w:r>
        <w:rPr>
          <w:rFonts w:hint="eastAsia" w:ascii="Times New Roman" w:hAnsi="Times New Roman" w:eastAsia="仿宋_GB2312" w:cs="Times New Roman"/>
          <w:spacing w:val="7"/>
          <w:sz w:val="32"/>
          <w:szCs w:val="32"/>
          <w:highlight w:val="none"/>
          <w:lang w:val="en-US" w:eastAsia="zh-CN"/>
        </w:rPr>
        <w:t>四</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承诺书，内容应当包括：保证提交的材料真实、准确、完整，无虚假记载、误导性陈述或者重大遗漏；遵守交易所的业务规则和其他有关规定；最近三年</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成立不足三年的，自成立之日起</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无严重违法行为记录和被期货交易所取消指定交割库资格的记录；没有逾期无法清偿的债务；无可能影响企业经营的未决诉讼或仲裁；</w:t>
      </w:r>
    </w:p>
    <w:p>
      <w:pPr>
        <w:keepNext w:val="0"/>
        <w:keepLines w:val="0"/>
        <w:pageBreakBefore w:val="0"/>
        <w:widowControl w:val="0"/>
        <w:kinsoku/>
        <w:wordWrap/>
        <w:overflowPunct/>
        <w:topLinePunct w:val="0"/>
        <w:autoSpaceDE/>
        <w:autoSpaceDN/>
        <w:bidi w:val="0"/>
        <w:adjustRightInd/>
        <w:snapToGrid/>
        <w:spacing w:before="101" w:line="560" w:lineRule="exact"/>
        <w:ind w:left="28" w:firstLine="648" w:firstLineChars="200"/>
        <w:textAlignment w:val="auto"/>
        <w:rPr>
          <w:rFonts w:hint="default" w:ascii="Times New Roman" w:hAnsi="Times New Roman" w:eastAsia="仿宋_GB2312" w:cs="Times New Roman"/>
          <w:spacing w:val="7"/>
          <w:sz w:val="32"/>
          <w:szCs w:val="32"/>
          <w:highlight w:val="none"/>
        </w:rPr>
      </w:pPr>
      <w:r>
        <w:rPr>
          <w:rFonts w:hint="eastAsia" w:ascii="黑体" w:hAnsi="黑体" w:eastAsia="黑体" w:cs="黑体"/>
          <w:spacing w:val="2"/>
          <w:sz w:val="32"/>
          <w:szCs w:val="32"/>
          <w:lang w:val="en-US" w:eastAsia="zh-CN"/>
        </w:rPr>
        <w:t>二、</w:t>
      </w:r>
      <w:r>
        <w:rPr>
          <w:rFonts w:hint="eastAsia" w:ascii="黑体" w:hAnsi="黑体" w:eastAsia="黑体" w:cs="黑体"/>
          <w:spacing w:val="2"/>
          <w:sz w:val="32"/>
          <w:szCs w:val="32"/>
        </w:rPr>
        <w:t>交割仓库申请人注册资本或净资产不足10亿元的</w:t>
      </w:r>
      <w:r>
        <w:rPr>
          <w:rFonts w:hint="eastAsia" w:ascii="黑体" w:hAnsi="黑体" w:eastAsia="黑体" w:cs="黑体"/>
          <w:spacing w:val="2"/>
          <w:sz w:val="32"/>
          <w:szCs w:val="32"/>
          <w:lang w:eastAsia="zh-CN"/>
        </w:rPr>
        <w:t>，</w:t>
      </w:r>
      <w:r>
        <w:rPr>
          <w:rFonts w:hint="eastAsia" w:ascii="黑体" w:hAnsi="黑体" w:eastAsia="黑体" w:cs="黑体"/>
          <w:spacing w:val="16"/>
          <w:sz w:val="32"/>
          <w:szCs w:val="32"/>
        </w:rPr>
        <w:t>还</w:t>
      </w:r>
      <w:r>
        <w:rPr>
          <w:rFonts w:hint="eastAsia" w:ascii="黑体" w:hAnsi="黑体" w:eastAsia="黑体" w:cs="黑体"/>
          <w:spacing w:val="7"/>
          <w:sz w:val="32"/>
          <w:szCs w:val="32"/>
          <w:highlight w:val="none"/>
        </w:rPr>
        <w:t>需</w:t>
      </w:r>
      <w:r>
        <w:rPr>
          <w:rFonts w:hint="eastAsia" w:ascii="黑体" w:hAnsi="黑体" w:eastAsia="黑体" w:cs="黑体"/>
          <w:spacing w:val="8"/>
          <w:sz w:val="32"/>
          <w:szCs w:val="32"/>
        </w:rPr>
        <w:t>提供担保单位出具的以下担保材料：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lang w:val="en-US"/>
        </w:rPr>
      </w:pP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一</w:t>
      </w: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担保函</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二</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市场监督管理部门颁发的</w:t>
      </w:r>
      <w:r>
        <w:rPr>
          <w:rFonts w:hint="eastAsia" w:ascii="Times New Roman" w:hAnsi="Times New Roman" w:eastAsia="仿宋_GB2312" w:cs="Times New Roman"/>
          <w:spacing w:val="7"/>
          <w:sz w:val="32"/>
          <w:szCs w:val="32"/>
          <w:highlight w:val="none"/>
          <w:lang w:val="en-US" w:eastAsia="zh-CN"/>
        </w:rPr>
        <w:t>担保单位的</w:t>
      </w:r>
      <w:r>
        <w:rPr>
          <w:rFonts w:hint="default" w:ascii="Times New Roman" w:hAnsi="Times New Roman" w:eastAsia="仿宋_GB2312" w:cs="Times New Roman"/>
          <w:spacing w:val="7"/>
          <w:sz w:val="32"/>
          <w:szCs w:val="32"/>
          <w:highlight w:val="none"/>
        </w:rPr>
        <w:t>营业执照</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副本</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复印件；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市场监督管理部门出具的工商查询卡或国家企业 信用信息公示系统公示的信息资料；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四</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符合担保单位内部决策程序的担保单位决定提供担保的决策文件；</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五</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截至申请日，担保单位在市场监督管理部门备案存档的最新、有效的企业章程；</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六</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担保单位基本情况说明，内容应当包括担保单位与申请人关系以及其直接或间接持股份额</w:t>
      </w: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目前仍有效的对外担保情况汇总，</w:t>
      </w:r>
      <w:r>
        <w:rPr>
          <w:rFonts w:hint="default" w:ascii="Times New Roman" w:hAnsi="Times New Roman" w:eastAsia="仿宋_GB2312" w:cs="Times New Roman"/>
          <w:spacing w:val="7"/>
          <w:sz w:val="32"/>
          <w:szCs w:val="32"/>
          <w:highlight w:val="none"/>
        </w:rPr>
        <w:t>担保单位的企业性质、注册资本、净资产、股权结构、实际控制人等情况，担保单位为国有企业或上市公司的，还应当说明其担保是否符合国家关于国有企业或上市公司对外担保的相关法律、法规、政策、规范性文件的要求，加盖担保单位和申请人双方公章并由双方法定代表人签字；</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七</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会计师事务所或交易所认可的审计部门出具的近一年审计报告</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原件或复印件，提供复印件的需要在首页、尾页及骑缝处分别加盖会计师事务所公章</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，新设立企业须提供验资报告</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原件或复印件，提供复印件的需要在首页、尾页及骑缝处分别加盖会计师事务所公章和申请人公章</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申请人为企业集团母公司的，审计报告中所列已审会计报表应当包括母公司的个别会计报表和企业集团的合并会计报表；</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八</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承诺书，内容包括：保证提交的材料真实、准确、完整，无虚假记载、误导性陈述或者重大遗漏；没有逾期无法清偿的债务；无可能影响企业经营的未决诉讼或仲裁；</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黑体" w:hAnsi="黑体" w:eastAsia="黑体" w:cs="黑体"/>
          <w:spacing w:val="7"/>
          <w:sz w:val="32"/>
          <w:szCs w:val="32"/>
          <w:highlight w:val="none"/>
        </w:rPr>
      </w:pPr>
      <w:r>
        <w:rPr>
          <w:rFonts w:hint="eastAsia" w:ascii="黑体" w:hAnsi="黑体" w:eastAsia="黑体" w:cs="黑体"/>
          <w:spacing w:val="7"/>
          <w:sz w:val="32"/>
          <w:szCs w:val="32"/>
          <w:highlight w:val="none"/>
        </w:rPr>
        <w:t>三、申请成为生产型或消费型</w:t>
      </w:r>
      <w:r>
        <w:rPr>
          <w:rFonts w:hint="eastAsia" w:ascii="黑体" w:hAnsi="黑体" w:eastAsia="黑体" w:cs="黑体"/>
          <w:spacing w:val="7"/>
          <w:sz w:val="32"/>
          <w:szCs w:val="32"/>
          <w:highlight w:val="none"/>
          <w:lang w:val="en-US" w:eastAsia="zh-CN"/>
        </w:rPr>
        <w:t>交割</w:t>
      </w:r>
      <w:r>
        <w:rPr>
          <w:rFonts w:hint="eastAsia" w:ascii="黑体" w:hAnsi="黑体" w:eastAsia="黑体" w:cs="黑体"/>
          <w:spacing w:val="7"/>
          <w:sz w:val="32"/>
          <w:szCs w:val="32"/>
          <w:highlight w:val="none"/>
        </w:rPr>
        <w:t>厂库的，还需提供申请材料如下：</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申请成为生产型或消费型</w:t>
      </w:r>
      <w:r>
        <w:rPr>
          <w:rFonts w:hint="eastAsia" w:ascii="Times New Roman" w:hAnsi="Times New Roman" w:eastAsia="仿宋_GB2312" w:cs="Times New Roman"/>
          <w:spacing w:val="7"/>
          <w:sz w:val="32"/>
          <w:szCs w:val="32"/>
          <w:highlight w:val="none"/>
          <w:lang w:val="en-US" w:eastAsia="zh-CN"/>
        </w:rPr>
        <w:t>交割</w:t>
      </w:r>
      <w:r>
        <w:rPr>
          <w:rFonts w:hint="default" w:ascii="Times New Roman" w:hAnsi="Times New Roman" w:eastAsia="仿宋_GB2312" w:cs="Times New Roman"/>
          <w:spacing w:val="7"/>
          <w:sz w:val="32"/>
          <w:szCs w:val="32"/>
          <w:highlight w:val="none"/>
        </w:rPr>
        <w:t>厂库的，若意向交割地点不在申请人生产加工及消费所在地且在现有交割仓库的，如租赁交割仓库场地的，申请书中还应当说明意向交割地点场地租赁情况，如未租赁交割仓库场地的，申请书中应当说明相关合作协议的签订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申请成为生产型或消费型厂库的，还应当提供如下材料：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商品质量、生产量或消费量等现货情况说明文件及证明材料，内容应包括：</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1. 主要经营的现货品种、常备库存、日发货速度；</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2. 近年来各品种的年度生产或消费总量；</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3. 生产型厂库需提供近年来主要的下游销售企业名录、销售量，消费型厂库需提供近年来主要的上游供应企业名录、供应量；</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4. 长期协议的签署情况。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二</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意向交割地点申请书；</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意向</w:t>
      </w:r>
      <w:r>
        <w:rPr>
          <w:rFonts w:hint="default" w:ascii="Times New Roman" w:hAnsi="Times New Roman" w:eastAsia="仿宋_GB2312" w:cs="Times New Roman"/>
          <w:spacing w:val="7"/>
          <w:sz w:val="32"/>
          <w:szCs w:val="32"/>
          <w:highlight w:val="none"/>
          <w:lang w:eastAsia="zh-CN"/>
        </w:rPr>
        <w:t>交割地点不在申请人生产加工及消费所在地的，若该意向交割地点在现有交割仓库，申请人如租赁交割仓库场地，应当</w:t>
      </w:r>
      <w:r>
        <w:rPr>
          <w:rFonts w:hint="default" w:ascii="Times New Roman" w:hAnsi="Times New Roman" w:eastAsia="仿宋_GB2312" w:cs="Times New Roman"/>
          <w:spacing w:val="7"/>
          <w:sz w:val="32"/>
          <w:szCs w:val="32"/>
          <w:highlight w:val="none"/>
        </w:rPr>
        <w:t>提供租赁协议复印件，申请人如未租赁交割仓库场地，应当提供相关合作协议复印件，未能提供相关协议复印件的应当提供相关说明；若该意向交割地点不在现有交割仓库，应当参照本附件第一条中第</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七</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项至第</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项规定，提供意向交割地点相关材料。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黑体" w:hAnsi="黑体" w:eastAsia="黑体" w:cs="黑体"/>
          <w:spacing w:val="7"/>
          <w:sz w:val="32"/>
          <w:szCs w:val="32"/>
          <w:highlight w:val="none"/>
        </w:rPr>
      </w:pPr>
      <w:r>
        <w:rPr>
          <w:rFonts w:hint="eastAsia" w:ascii="黑体" w:hAnsi="黑体" w:eastAsia="黑体" w:cs="黑体"/>
          <w:spacing w:val="7"/>
          <w:sz w:val="32"/>
          <w:szCs w:val="32"/>
          <w:highlight w:val="none"/>
        </w:rPr>
        <w:t>四、申请成为贸易型</w:t>
      </w:r>
      <w:r>
        <w:rPr>
          <w:rFonts w:hint="eastAsia" w:ascii="黑体" w:hAnsi="黑体" w:eastAsia="黑体" w:cs="黑体"/>
          <w:spacing w:val="7"/>
          <w:sz w:val="32"/>
          <w:szCs w:val="32"/>
          <w:highlight w:val="none"/>
          <w:lang w:val="en-US" w:eastAsia="zh-CN"/>
        </w:rPr>
        <w:t>交割</w:t>
      </w:r>
      <w:r>
        <w:rPr>
          <w:rFonts w:hint="eastAsia" w:ascii="黑体" w:hAnsi="黑体" w:eastAsia="黑体" w:cs="黑体"/>
          <w:spacing w:val="7"/>
          <w:sz w:val="32"/>
          <w:szCs w:val="32"/>
          <w:highlight w:val="none"/>
        </w:rPr>
        <w:t>厂库的，还需提供申请材料如下：</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申请成为贸易型</w:t>
      </w:r>
      <w:r>
        <w:rPr>
          <w:rFonts w:hint="eastAsia" w:ascii="Times New Roman" w:hAnsi="Times New Roman" w:eastAsia="仿宋_GB2312" w:cs="Times New Roman"/>
          <w:spacing w:val="7"/>
          <w:sz w:val="32"/>
          <w:szCs w:val="32"/>
          <w:highlight w:val="none"/>
          <w:lang w:val="en-US" w:eastAsia="zh-CN"/>
        </w:rPr>
        <w:t>交割</w:t>
      </w:r>
      <w:r>
        <w:rPr>
          <w:rFonts w:hint="default" w:ascii="Times New Roman" w:hAnsi="Times New Roman" w:eastAsia="仿宋_GB2312" w:cs="Times New Roman"/>
          <w:spacing w:val="7"/>
          <w:sz w:val="32"/>
          <w:szCs w:val="32"/>
          <w:highlight w:val="none"/>
        </w:rPr>
        <w:t>厂库的，申请书中还应当说明主要供应商名称、主要经营现货品种的相关情况</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型号、品牌、贸易量</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、是否签订长期协议、主要使用港口及物流节点以及意向交割地点的常备库存情况等。</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意向交割地点在现有交割仓库的，申请人如租赁交割仓库场地，应当在申请书中说明拟申请意向交割地点的场地租赁情况，申请人如未租赁交割仓库场地，应当在申请书中说明相关合作协议的签订情况。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申请成为贸易型</w:t>
      </w:r>
      <w:r>
        <w:rPr>
          <w:rFonts w:hint="eastAsia" w:ascii="Times New Roman" w:hAnsi="Times New Roman" w:eastAsia="仿宋_GB2312" w:cs="Times New Roman"/>
          <w:spacing w:val="7"/>
          <w:sz w:val="32"/>
          <w:szCs w:val="32"/>
          <w:highlight w:val="none"/>
          <w:lang w:val="en-US" w:eastAsia="zh-CN"/>
        </w:rPr>
        <w:t>交割</w:t>
      </w:r>
      <w:r>
        <w:rPr>
          <w:rFonts w:hint="default" w:ascii="Times New Roman" w:hAnsi="Times New Roman" w:eastAsia="仿宋_GB2312" w:cs="Times New Roman"/>
          <w:spacing w:val="7"/>
          <w:sz w:val="32"/>
          <w:szCs w:val="32"/>
          <w:highlight w:val="none"/>
        </w:rPr>
        <w:t>厂库的，还应当提供如下材料：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商品质量、贸易量等现货情况说明文件及证明材料，内容应包括：</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1. 主要经营的现货品种、常备库存、日发货速度；</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2. 近年来各品种的年度贸易总量；</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3. 近年来主要供应商名录、对应品种及贸易量；</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4. 近年来主要贸易商名录、对应品种及贸易量、贸易地区；</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5. 长期协议的签署情况。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二</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意向交割地点申请书</w:t>
      </w:r>
      <w:r>
        <w:rPr>
          <w:rFonts w:hint="eastAsia" w:ascii="Times New Roman" w:hAnsi="Times New Roman" w:eastAsia="仿宋_GB2312" w:cs="Times New Roman"/>
          <w:spacing w:val="7"/>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三</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意向交割地点在现有交割仓库的，无需提供本规定本附件第一条中第</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七</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至</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项资料。申请人如租赁交割仓库场地，应当提供租赁协议复印件，申请人如未租赁交割仓库场地，应当提供相关合作协议复印件，未能提供相关协议复印件的应当提供相关说明；意向交割地点不在现有交割仓库的，应当提供意向交割地点涉及本附件第一条中第</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七</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至</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十一</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项材料。</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注意事项：1</w:t>
      </w:r>
      <w:r>
        <w:rPr>
          <w:rFonts w:hint="eastAsia" w:ascii="Times New Roman" w:hAnsi="Times New Roman" w:eastAsia="仿宋_GB2312" w:cs="Times New Roman"/>
          <w:spacing w:val="7"/>
          <w:sz w:val="32"/>
          <w:szCs w:val="32"/>
          <w:highlight w:val="none"/>
          <w:lang w:val="en-US" w:eastAsia="zh-CN"/>
        </w:rPr>
        <w:t xml:space="preserve">. </w:t>
      </w:r>
      <w:r>
        <w:rPr>
          <w:rFonts w:hint="default" w:ascii="Times New Roman" w:hAnsi="Times New Roman" w:eastAsia="仿宋_GB2312" w:cs="Times New Roman"/>
          <w:spacing w:val="7"/>
          <w:sz w:val="32"/>
          <w:szCs w:val="32"/>
          <w:highlight w:val="none"/>
        </w:rPr>
        <w:t>申请企业应按各规定中顺序对申请材料进行排序并建立目录</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包括纸质和电子材料</w:t>
      </w:r>
      <w:r>
        <w:rPr>
          <w:rFonts w:hint="eastAsia" w:ascii="Times New Roman" w:hAnsi="Times New Roman" w:eastAsia="仿宋_GB2312" w:cs="Times New Roman"/>
          <w:spacing w:val="7"/>
          <w:sz w:val="32"/>
          <w:szCs w:val="32"/>
          <w:highlight w:val="none"/>
          <w:lang w:eastAsia="zh-CN"/>
        </w:rPr>
        <w:t>）；</w:t>
      </w:r>
      <w:r>
        <w:rPr>
          <w:rFonts w:hint="eastAsia" w:ascii="Times New Roman" w:hAnsi="Times New Roman" w:eastAsia="仿宋_GB2312" w:cs="Times New Roman"/>
          <w:spacing w:val="7"/>
          <w:sz w:val="32"/>
          <w:szCs w:val="32"/>
          <w:highlight w:val="none"/>
          <w:lang w:val="en-US" w:eastAsia="zh-CN"/>
        </w:rPr>
        <w:t xml:space="preserve">2. </w:t>
      </w:r>
      <w:r>
        <w:rPr>
          <w:rFonts w:hint="default" w:ascii="Times New Roman" w:hAnsi="Times New Roman" w:eastAsia="仿宋_GB2312" w:cs="Times New Roman"/>
          <w:spacing w:val="7"/>
          <w:sz w:val="32"/>
          <w:szCs w:val="32"/>
          <w:highlight w:val="none"/>
        </w:rPr>
        <w:t>对于材料有签章的，必须由法人代表或授权人</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须附授权书</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 xml:space="preserve"> 签字并加盖企业公章，或写明企业名字后并盖章；3</w:t>
      </w:r>
      <w:r>
        <w:rPr>
          <w:rFonts w:hint="eastAsia" w:ascii="Times New Roman" w:hAnsi="Times New Roman" w:eastAsia="仿宋_GB2312" w:cs="Times New Roman"/>
          <w:spacing w:val="7"/>
          <w:sz w:val="32"/>
          <w:szCs w:val="32"/>
          <w:highlight w:val="none"/>
          <w:lang w:val="en-US" w:eastAsia="zh-CN"/>
        </w:rPr>
        <w:t xml:space="preserve">. </w:t>
      </w:r>
      <w:r>
        <w:rPr>
          <w:rFonts w:hint="default" w:ascii="Times New Roman" w:hAnsi="Times New Roman" w:eastAsia="仿宋_GB2312" w:cs="Times New Roman"/>
          <w:spacing w:val="7"/>
          <w:sz w:val="32"/>
          <w:szCs w:val="32"/>
          <w:highlight w:val="none"/>
        </w:rPr>
        <w:t>要求申请企业对复印件文件盖公章或盖骑缝章；</w:t>
      </w:r>
      <w:r>
        <w:rPr>
          <w:rFonts w:hint="eastAsia" w:ascii="Times New Roman" w:hAnsi="Times New Roman" w:eastAsia="仿宋_GB2312" w:cs="Times New Roman"/>
          <w:spacing w:val="7"/>
          <w:sz w:val="32"/>
          <w:szCs w:val="32"/>
          <w:highlight w:val="none"/>
          <w:lang w:val="en-US" w:eastAsia="zh-CN"/>
        </w:rPr>
        <w:t xml:space="preserve">4. </w:t>
      </w:r>
      <w:r>
        <w:rPr>
          <w:rFonts w:hint="default" w:ascii="Times New Roman" w:hAnsi="Times New Roman" w:eastAsia="仿宋_GB2312" w:cs="Times New Roman"/>
          <w:spacing w:val="7"/>
          <w:sz w:val="32"/>
          <w:szCs w:val="32"/>
          <w:highlight w:val="none"/>
        </w:rPr>
        <w:t>申请人提交的申请材料应当加盖申请人公章，担保单位材料应当加盖担保单位公章。</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pStyle w:val="6"/>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kern w:val="2"/>
          <w:sz w:val="44"/>
          <w:szCs w:val="21"/>
          <w:highlight w:val="none"/>
          <w:lang w:val="en-US" w:eastAsia="zh-CN" w:bidi="ar-SA"/>
        </w:rPr>
      </w:pPr>
      <w:r>
        <w:rPr>
          <w:rFonts w:hint="eastAsia" w:ascii="方正小标宋简体" w:hAnsi="方正小标宋简体" w:eastAsia="方正小标宋简体" w:cs="方正小标宋简体"/>
          <w:b w:val="0"/>
          <w:kern w:val="2"/>
          <w:sz w:val="44"/>
          <w:szCs w:val="21"/>
          <w:highlight w:val="none"/>
          <w:lang w:val="en-US" w:eastAsia="zh-CN" w:bidi="ar-SA"/>
        </w:rPr>
        <w:t>交割厂库意向交割地点申请书</w:t>
      </w:r>
    </w:p>
    <w:p>
      <w:pPr>
        <w:pStyle w:val="6"/>
        <w:keepNext w:val="0"/>
        <w:keepLines w:val="0"/>
        <w:pageBreakBefore w:val="0"/>
        <w:kinsoku/>
        <w:wordWrap/>
        <w:overflowPunct/>
        <w:topLinePunct w:val="0"/>
        <w:autoSpaceDE/>
        <w:autoSpaceDN/>
        <w:bidi w:val="0"/>
        <w:adjustRightInd/>
        <w:snapToGrid/>
        <w:spacing w:line="560" w:lineRule="exact"/>
        <w:textAlignment w:val="auto"/>
        <w:rPr>
          <w:rFonts w:hint="default" w:ascii="方正小标宋简体" w:hAnsi="方正小标宋简体" w:eastAsia="方正小标宋简体" w:cs="方正小标宋简体"/>
          <w:b w:val="0"/>
          <w:kern w:val="2"/>
          <w:sz w:val="44"/>
          <w:szCs w:val="21"/>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91"/>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广州期货交易所：</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XX公司</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以下简称“我司”</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现向贵交易所申请将我司位于XX的XX工厂</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以下简称“XX厂”</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设立为</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期货交割厂库。现将XX厂的情况做如下介绍。</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XX厂厂址位于XX省XX市XX县XX区。XX区位于XX县城XX国道，距XX县城约XX公里，距XX火车站XX公里，XX国道为全封闭高速公路，距XX铁路线XX公里，交通运输便利，拟申请提货地点为XXX。目前XX厂有生产设备XX台，每日生产量为XX 万吨，配备自有发电设备XX</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型号</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XX台，可供厂房进行生产。并且厂房所在区域资源种类繁多，紧邻原材料生产地</w:t>
      </w:r>
      <w:r>
        <w:rPr>
          <w:rFonts w:hint="eastAsia" w:ascii="Times New Roman" w:hAnsi="Times New Roman" w:eastAsia="仿宋_GB2312" w:cs="Times New Roman"/>
          <w:spacing w:val="7"/>
          <w:sz w:val="32"/>
          <w:szCs w:val="32"/>
          <w:highlight w:val="none"/>
          <w:lang w:eastAsia="zh-CN"/>
        </w:rPr>
        <w:t>，</w:t>
      </w:r>
      <w:r>
        <w:rPr>
          <w:rFonts w:hint="default" w:ascii="Times New Roman" w:hAnsi="Times New Roman" w:eastAsia="仿宋_GB2312" w:cs="Times New Roman"/>
          <w:spacing w:val="7"/>
          <w:sz w:val="32"/>
          <w:szCs w:val="32"/>
          <w:highlight w:val="none"/>
        </w:rPr>
        <w:t>储量较大。 目前XX厂生产的产品有XX、XX、XX,XX厂已经和国内各下游企业达成长期贸易协议。</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default" w:ascii="Times New Roman" w:hAnsi="Times New Roman" w:eastAsia="仿宋_GB2312" w:cs="Times New Roman"/>
          <w:spacing w:val="7"/>
          <w:sz w:val="32"/>
          <w:szCs w:val="32"/>
          <w:highlight w:val="none"/>
        </w:rPr>
      </w:pPr>
      <w:r>
        <w:rPr>
          <w:rFonts w:hint="default" w:ascii="Times New Roman" w:hAnsi="Times New Roman" w:eastAsia="仿宋_GB2312" w:cs="Times New Roman"/>
          <w:spacing w:val="7"/>
          <w:sz w:val="32"/>
          <w:szCs w:val="32"/>
          <w:highlight w:val="none"/>
        </w:rPr>
        <w:t>我司XX厂向广州期货交易所申请成为</w:t>
      </w:r>
      <w:r>
        <w:rPr>
          <w:rFonts w:hint="eastAsia" w:ascii="Times New Roman" w:hAnsi="Times New Roman" w:eastAsia="仿宋_GB2312" w:cs="Times New Roman"/>
          <w:spacing w:val="7"/>
          <w:sz w:val="32"/>
          <w:szCs w:val="32"/>
          <w:highlight w:val="none"/>
          <w:lang w:eastAsia="zh-CN"/>
        </w:rPr>
        <w:t>碳酸锂</w:t>
      </w:r>
      <w:r>
        <w:rPr>
          <w:rFonts w:hint="default" w:ascii="Times New Roman" w:hAnsi="Times New Roman" w:eastAsia="仿宋_GB2312" w:cs="Times New Roman"/>
          <w:spacing w:val="7"/>
          <w:sz w:val="32"/>
          <w:szCs w:val="32"/>
          <w:highlight w:val="none"/>
        </w:rPr>
        <w:t>期货交割厂库。我司XX厂承认并遵守广州期货交易所的交易规则、交割细则以及其他有关期货交割的规定。</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r>
        <w:rPr>
          <w:rFonts w:hint="default" w:ascii="Times New Roman" w:hAnsi="Times New Roman" w:eastAsia="仿宋_GB2312" w:cs="Times New Roman"/>
          <w:spacing w:val="7"/>
          <w:sz w:val="32"/>
          <w:szCs w:val="32"/>
          <w:highlight w:val="none"/>
        </w:rPr>
        <w:t>下表为XX厂的运输、产品质量、银行保函、下游企业销售情况</w:t>
      </w: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46" w:right="91" w:firstLine="634"/>
        <w:textAlignment w:val="auto"/>
        <w:rPr>
          <w:rFonts w:hint="eastAsia" w:ascii="Times New Roman" w:hAnsi="Times New Roman" w:eastAsia="仿宋_GB2312" w:cs="Times New Roman"/>
          <w:spacing w:val="7"/>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91"/>
        <w:textAlignment w:val="auto"/>
        <w:rPr>
          <w:rFonts w:hint="eastAsia" w:ascii="Times New Roman" w:hAnsi="Times New Roman" w:eastAsia="仿宋_GB2312" w:cs="Times New Roman"/>
          <w:spacing w:val="7"/>
          <w:sz w:val="32"/>
          <w:szCs w:val="32"/>
          <w:highlight w:val="none"/>
          <w:lang w:val="en-US" w:eastAsia="zh-CN"/>
        </w:rPr>
      </w:pPr>
    </w:p>
    <w:p>
      <w:pPr>
        <w:spacing w:before="101" w:line="225" w:lineRule="auto"/>
        <w:ind w:left="122"/>
        <w:rPr>
          <w:rFonts w:ascii="Arial"/>
          <w:sz w:val="2"/>
        </w:rPr>
      </w:pPr>
      <w:r>
        <w:rPr>
          <w:rFonts w:ascii="仿宋" w:hAnsi="仿宋" w:eastAsia="仿宋" w:cs="仿宋"/>
          <w:spacing w:val="-1"/>
          <w:sz w:val="31"/>
          <w:szCs w:val="31"/>
        </w:rPr>
        <w:t xml:space="preserve">表 </w:t>
      </w:r>
      <w:r>
        <w:rPr>
          <w:rFonts w:ascii="Times New Roman" w:hAnsi="Times New Roman" w:eastAsia="Times New Roman" w:cs="Times New Roman"/>
          <w:sz w:val="31"/>
          <w:szCs w:val="31"/>
        </w:rPr>
        <w:t>1</w:t>
      </w:r>
      <w:r>
        <w:rPr>
          <w:rFonts w:ascii="仿宋" w:hAnsi="仿宋" w:eastAsia="仿宋" w:cs="仿宋"/>
          <w:sz w:val="31"/>
          <w:szCs w:val="31"/>
        </w:rPr>
        <w:t>：交通运输情况</w:t>
      </w:r>
    </w:p>
    <w:tbl>
      <w:tblPr>
        <w:tblStyle w:val="8"/>
        <w:tblW w:w="86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268"/>
        <w:gridCol w:w="2409"/>
        <w:gridCol w:w="4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86" w:type="dxa"/>
            <w:vMerge w:val="restart"/>
            <w:tcBorders>
              <w:bottom w:val="nil"/>
            </w:tcBorders>
            <w:textDirection w:val="tbRlV"/>
            <w:vAlign w:val="top"/>
          </w:tcPr>
          <w:p>
            <w:pPr>
              <w:spacing w:before="182" w:line="212" w:lineRule="auto"/>
              <w:ind w:left="1936"/>
              <w:rPr>
                <w:rFonts w:ascii="仿宋" w:hAnsi="仿宋" w:eastAsia="仿宋" w:cs="仿宋"/>
                <w:sz w:val="31"/>
                <w:szCs w:val="31"/>
              </w:rPr>
            </w:pPr>
            <w:r>
              <w:rPr>
                <w:rFonts w:ascii="仿宋" w:hAnsi="仿宋" w:eastAsia="仿宋" w:cs="仿宋"/>
                <w:spacing w:val="56"/>
                <w:sz w:val="31"/>
                <w:szCs w:val="31"/>
              </w:rPr>
              <w:t>运</w:t>
            </w:r>
            <w:r>
              <w:rPr>
                <w:rFonts w:ascii="仿宋" w:hAnsi="仿宋" w:eastAsia="仿宋" w:cs="仿宋"/>
                <w:spacing w:val="55"/>
                <w:sz w:val="31"/>
                <w:szCs w:val="31"/>
              </w:rPr>
              <w:t xml:space="preserve"> 输</w:t>
            </w:r>
          </w:p>
        </w:tc>
        <w:tc>
          <w:tcPr>
            <w:tcW w:w="1268" w:type="dxa"/>
            <w:vMerge w:val="restart"/>
            <w:tcBorders>
              <w:bottom w:val="nil"/>
            </w:tcBorders>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before="101" w:line="223" w:lineRule="auto"/>
              <w:ind w:left="320"/>
              <w:rPr>
                <w:rFonts w:ascii="仿宋" w:hAnsi="仿宋" w:eastAsia="仿宋" w:cs="仿宋"/>
                <w:sz w:val="31"/>
                <w:szCs w:val="31"/>
              </w:rPr>
            </w:pPr>
            <w:r>
              <w:rPr>
                <w:rFonts w:ascii="仿宋" w:hAnsi="仿宋" w:eastAsia="仿宋" w:cs="仿宋"/>
                <w:spacing w:val="4"/>
                <w:sz w:val="31"/>
                <w:szCs w:val="31"/>
              </w:rPr>
              <w:t>公</w:t>
            </w:r>
            <w:r>
              <w:rPr>
                <w:rFonts w:ascii="仿宋" w:hAnsi="仿宋" w:eastAsia="仿宋" w:cs="仿宋"/>
                <w:spacing w:val="3"/>
                <w:sz w:val="31"/>
                <w:szCs w:val="31"/>
              </w:rPr>
              <w:t>路</w:t>
            </w:r>
          </w:p>
        </w:tc>
        <w:tc>
          <w:tcPr>
            <w:tcW w:w="2409" w:type="dxa"/>
            <w:vAlign w:val="top"/>
          </w:tcPr>
          <w:p>
            <w:pPr>
              <w:spacing w:before="159" w:line="224" w:lineRule="auto"/>
              <w:ind w:left="277"/>
              <w:rPr>
                <w:rFonts w:ascii="仿宋" w:hAnsi="仿宋" w:eastAsia="仿宋" w:cs="仿宋"/>
                <w:sz w:val="31"/>
                <w:szCs w:val="31"/>
              </w:rPr>
            </w:pPr>
            <w:r>
              <w:rPr>
                <w:rFonts w:ascii="仿宋" w:hAnsi="仿宋" w:eastAsia="仿宋" w:cs="仿宋"/>
                <w:spacing w:val="4"/>
                <w:sz w:val="31"/>
                <w:szCs w:val="31"/>
              </w:rPr>
              <w:t>附近主要高</w:t>
            </w:r>
            <w:r>
              <w:rPr>
                <w:rFonts w:ascii="仿宋" w:hAnsi="仿宋" w:eastAsia="仿宋" w:cs="仿宋"/>
                <w:spacing w:val="3"/>
                <w:sz w:val="31"/>
                <w:szCs w:val="31"/>
              </w:rPr>
              <w:t>速</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86" w:type="dxa"/>
            <w:vMerge w:val="continue"/>
            <w:tcBorders>
              <w:top w:val="nil"/>
              <w:bottom w:val="nil"/>
            </w:tcBorders>
            <w:textDirection w:val="tbRlV"/>
            <w:vAlign w:val="top"/>
          </w:tcPr>
          <w:p>
            <w:pPr>
              <w:rPr>
                <w:rFonts w:ascii="Arial"/>
                <w:sz w:val="21"/>
              </w:rPr>
            </w:pPr>
          </w:p>
        </w:tc>
        <w:tc>
          <w:tcPr>
            <w:tcW w:w="1268" w:type="dxa"/>
            <w:vMerge w:val="continue"/>
            <w:tcBorders>
              <w:top w:val="nil"/>
              <w:bottom w:val="nil"/>
            </w:tcBorders>
            <w:vAlign w:val="top"/>
          </w:tcPr>
          <w:p>
            <w:pPr>
              <w:rPr>
                <w:rFonts w:ascii="Arial"/>
                <w:sz w:val="21"/>
              </w:rPr>
            </w:pPr>
          </w:p>
        </w:tc>
        <w:tc>
          <w:tcPr>
            <w:tcW w:w="2409" w:type="dxa"/>
            <w:vAlign w:val="top"/>
          </w:tcPr>
          <w:p>
            <w:pPr>
              <w:spacing w:before="154" w:line="224" w:lineRule="auto"/>
              <w:ind w:left="277"/>
              <w:rPr>
                <w:rFonts w:ascii="仿宋" w:hAnsi="仿宋" w:eastAsia="仿宋" w:cs="仿宋"/>
                <w:sz w:val="31"/>
                <w:szCs w:val="31"/>
              </w:rPr>
            </w:pPr>
            <w:r>
              <w:rPr>
                <w:rFonts w:ascii="仿宋" w:hAnsi="仿宋" w:eastAsia="仿宋" w:cs="仿宋"/>
                <w:spacing w:val="4"/>
                <w:sz w:val="31"/>
                <w:szCs w:val="31"/>
              </w:rPr>
              <w:t>附近主要普</w:t>
            </w:r>
            <w:r>
              <w:rPr>
                <w:rFonts w:ascii="仿宋" w:hAnsi="仿宋" w:eastAsia="仿宋" w:cs="仿宋"/>
                <w:spacing w:val="3"/>
                <w:sz w:val="31"/>
                <w:szCs w:val="31"/>
              </w:rPr>
              <w:t>通</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86" w:type="dxa"/>
            <w:vMerge w:val="continue"/>
            <w:tcBorders>
              <w:top w:val="nil"/>
              <w:bottom w:val="nil"/>
            </w:tcBorders>
            <w:textDirection w:val="tbRlV"/>
            <w:vAlign w:val="top"/>
          </w:tcPr>
          <w:p>
            <w:pPr>
              <w:rPr>
                <w:rFonts w:ascii="Arial"/>
                <w:sz w:val="21"/>
              </w:rPr>
            </w:pPr>
          </w:p>
        </w:tc>
        <w:tc>
          <w:tcPr>
            <w:tcW w:w="1268" w:type="dxa"/>
            <w:vMerge w:val="continue"/>
            <w:tcBorders>
              <w:top w:val="nil"/>
              <w:bottom w:val="nil"/>
            </w:tcBorders>
            <w:vAlign w:val="top"/>
          </w:tcPr>
          <w:p>
            <w:pPr>
              <w:rPr>
                <w:rFonts w:ascii="Arial"/>
                <w:sz w:val="21"/>
              </w:rPr>
            </w:pPr>
          </w:p>
        </w:tc>
        <w:tc>
          <w:tcPr>
            <w:tcW w:w="2409" w:type="dxa"/>
            <w:vAlign w:val="top"/>
          </w:tcPr>
          <w:p>
            <w:pPr>
              <w:spacing w:before="158" w:line="222" w:lineRule="auto"/>
              <w:ind w:left="252"/>
              <w:rPr>
                <w:rFonts w:ascii="仿宋" w:hAnsi="仿宋" w:eastAsia="仿宋" w:cs="仿宋"/>
                <w:sz w:val="31"/>
                <w:szCs w:val="31"/>
              </w:rPr>
            </w:pPr>
            <w:r>
              <w:rPr>
                <w:rFonts w:ascii="仿宋" w:hAnsi="仿宋" w:eastAsia="仿宋" w:cs="仿宋"/>
                <w:spacing w:val="-10"/>
                <w:sz w:val="31"/>
                <w:szCs w:val="31"/>
              </w:rPr>
              <w:t>仓</w:t>
            </w:r>
            <w:r>
              <w:rPr>
                <w:rFonts w:ascii="仿宋" w:hAnsi="仿宋" w:eastAsia="仿宋" w:cs="仿宋"/>
                <w:spacing w:val="-6"/>
                <w:sz w:val="31"/>
                <w:szCs w:val="31"/>
              </w:rPr>
              <w:t>库距高速 口</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86" w:type="dxa"/>
            <w:vMerge w:val="continue"/>
            <w:tcBorders>
              <w:top w:val="nil"/>
              <w:bottom w:val="nil"/>
            </w:tcBorders>
            <w:textDirection w:val="tbRlV"/>
            <w:vAlign w:val="top"/>
          </w:tcPr>
          <w:p>
            <w:pPr>
              <w:rPr>
                <w:rFonts w:ascii="Arial"/>
                <w:sz w:val="21"/>
              </w:rPr>
            </w:pPr>
          </w:p>
        </w:tc>
        <w:tc>
          <w:tcPr>
            <w:tcW w:w="1268" w:type="dxa"/>
            <w:vMerge w:val="continue"/>
            <w:tcBorders>
              <w:top w:val="nil"/>
            </w:tcBorders>
            <w:vAlign w:val="top"/>
          </w:tcPr>
          <w:p>
            <w:pPr>
              <w:rPr>
                <w:rFonts w:ascii="Arial"/>
                <w:sz w:val="21"/>
              </w:rPr>
            </w:pPr>
          </w:p>
        </w:tc>
        <w:tc>
          <w:tcPr>
            <w:tcW w:w="2409" w:type="dxa"/>
            <w:vAlign w:val="top"/>
          </w:tcPr>
          <w:p>
            <w:pPr>
              <w:spacing w:before="157" w:line="222" w:lineRule="auto"/>
              <w:ind w:left="252"/>
              <w:rPr>
                <w:rFonts w:ascii="仿宋" w:hAnsi="仿宋" w:eastAsia="仿宋" w:cs="仿宋"/>
                <w:sz w:val="31"/>
                <w:szCs w:val="31"/>
              </w:rPr>
            </w:pPr>
            <w:r>
              <w:rPr>
                <w:rFonts w:ascii="仿宋" w:hAnsi="仿宋" w:eastAsia="仿宋" w:cs="仿宋"/>
                <w:spacing w:val="8"/>
                <w:sz w:val="31"/>
                <w:szCs w:val="31"/>
              </w:rPr>
              <w:t>仓库距国省道</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86" w:type="dxa"/>
            <w:vMerge w:val="continue"/>
            <w:tcBorders>
              <w:top w:val="nil"/>
              <w:bottom w:val="nil"/>
            </w:tcBorders>
            <w:textDirection w:val="tbRlV"/>
            <w:vAlign w:val="top"/>
          </w:tcPr>
          <w:p>
            <w:pPr>
              <w:rPr>
                <w:rFonts w:ascii="Arial"/>
                <w:sz w:val="21"/>
              </w:rPr>
            </w:pPr>
          </w:p>
        </w:tc>
        <w:tc>
          <w:tcPr>
            <w:tcW w:w="1268" w:type="dxa"/>
            <w:vMerge w:val="restart"/>
            <w:tcBorders>
              <w:bottom w:val="nil"/>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spacing w:before="101" w:line="223" w:lineRule="auto"/>
              <w:ind w:left="326"/>
              <w:rPr>
                <w:rFonts w:ascii="仿宋" w:hAnsi="仿宋" w:eastAsia="仿宋" w:cs="仿宋"/>
                <w:sz w:val="31"/>
                <w:szCs w:val="31"/>
              </w:rPr>
            </w:pPr>
            <w:r>
              <w:rPr>
                <w:rFonts w:ascii="仿宋" w:hAnsi="仿宋" w:eastAsia="仿宋" w:cs="仿宋"/>
                <w:spacing w:val="1"/>
                <w:sz w:val="31"/>
                <w:szCs w:val="31"/>
              </w:rPr>
              <w:t>铁</w:t>
            </w:r>
            <w:r>
              <w:rPr>
                <w:rFonts w:ascii="仿宋" w:hAnsi="仿宋" w:eastAsia="仿宋" w:cs="仿宋"/>
                <w:sz w:val="31"/>
                <w:szCs w:val="31"/>
              </w:rPr>
              <w:t>路</w:t>
            </w:r>
          </w:p>
        </w:tc>
        <w:tc>
          <w:tcPr>
            <w:tcW w:w="2409" w:type="dxa"/>
            <w:vAlign w:val="top"/>
          </w:tcPr>
          <w:p>
            <w:pPr>
              <w:spacing w:before="158" w:line="221" w:lineRule="auto"/>
              <w:ind w:left="424"/>
              <w:rPr>
                <w:rFonts w:ascii="仿宋" w:hAnsi="仿宋" w:eastAsia="仿宋" w:cs="仿宋"/>
                <w:sz w:val="31"/>
                <w:szCs w:val="31"/>
              </w:rPr>
            </w:pPr>
            <w:r>
              <w:rPr>
                <w:rFonts w:ascii="仿宋" w:hAnsi="仿宋" w:eastAsia="仿宋" w:cs="仿宋"/>
                <w:spacing w:val="5"/>
                <w:sz w:val="31"/>
                <w:szCs w:val="31"/>
              </w:rPr>
              <w:t>专用线名称</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686" w:type="dxa"/>
            <w:vMerge w:val="continue"/>
            <w:tcBorders>
              <w:top w:val="nil"/>
              <w:bottom w:val="nil"/>
            </w:tcBorders>
            <w:textDirection w:val="tbRlV"/>
            <w:vAlign w:val="top"/>
          </w:tcPr>
          <w:p>
            <w:pPr>
              <w:rPr>
                <w:rFonts w:ascii="Arial"/>
                <w:sz w:val="21"/>
              </w:rPr>
            </w:pPr>
          </w:p>
        </w:tc>
        <w:tc>
          <w:tcPr>
            <w:tcW w:w="1268" w:type="dxa"/>
            <w:vMerge w:val="continue"/>
            <w:tcBorders>
              <w:top w:val="nil"/>
              <w:bottom w:val="nil"/>
            </w:tcBorders>
            <w:vAlign w:val="top"/>
          </w:tcPr>
          <w:p>
            <w:pPr>
              <w:rPr>
                <w:rFonts w:ascii="Arial"/>
                <w:sz w:val="21"/>
              </w:rPr>
            </w:pPr>
          </w:p>
        </w:tc>
        <w:tc>
          <w:tcPr>
            <w:tcW w:w="2409" w:type="dxa"/>
            <w:vAlign w:val="top"/>
          </w:tcPr>
          <w:p>
            <w:pPr>
              <w:spacing w:before="159" w:line="223" w:lineRule="auto"/>
              <w:ind w:left="577"/>
              <w:rPr>
                <w:rFonts w:ascii="仿宋" w:hAnsi="仿宋" w:eastAsia="仿宋" w:cs="仿宋"/>
                <w:sz w:val="31"/>
                <w:szCs w:val="31"/>
              </w:rPr>
            </w:pPr>
            <w:r>
              <w:rPr>
                <w:rFonts w:ascii="仿宋" w:hAnsi="仿宋" w:eastAsia="仿宋" w:cs="仿宋"/>
                <w:spacing w:val="7"/>
                <w:sz w:val="31"/>
                <w:szCs w:val="31"/>
              </w:rPr>
              <w:t>铁</w:t>
            </w:r>
            <w:r>
              <w:rPr>
                <w:rFonts w:ascii="仿宋" w:hAnsi="仿宋" w:eastAsia="仿宋" w:cs="仿宋"/>
                <w:spacing w:val="5"/>
                <w:sz w:val="31"/>
                <w:szCs w:val="31"/>
              </w:rPr>
              <w:t>路到站</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686" w:type="dxa"/>
            <w:vMerge w:val="continue"/>
            <w:tcBorders>
              <w:top w:val="nil"/>
              <w:bottom w:val="nil"/>
            </w:tcBorders>
            <w:textDirection w:val="tbRlV"/>
            <w:vAlign w:val="top"/>
          </w:tcPr>
          <w:p>
            <w:pPr>
              <w:rPr>
                <w:rFonts w:ascii="Arial"/>
                <w:sz w:val="21"/>
              </w:rPr>
            </w:pPr>
          </w:p>
        </w:tc>
        <w:tc>
          <w:tcPr>
            <w:tcW w:w="1268" w:type="dxa"/>
            <w:vMerge w:val="continue"/>
            <w:tcBorders>
              <w:top w:val="nil"/>
              <w:bottom w:val="nil"/>
            </w:tcBorders>
            <w:vAlign w:val="top"/>
          </w:tcPr>
          <w:p>
            <w:pPr>
              <w:rPr>
                <w:rFonts w:ascii="Arial"/>
                <w:sz w:val="21"/>
              </w:rPr>
            </w:pPr>
          </w:p>
        </w:tc>
        <w:tc>
          <w:tcPr>
            <w:tcW w:w="2409" w:type="dxa"/>
            <w:vAlign w:val="top"/>
          </w:tcPr>
          <w:p>
            <w:pPr>
              <w:spacing w:before="160" w:line="223" w:lineRule="auto"/>
              <w:ind w:left="424"/>
              <w:rPr>
                <w:rFonts w:ascii="仿宋" w:hAnsi="仿宋" w:eastAsia="仿宋" w:cs="仿宋"/>
                <w:sz w:val="31"/>
                <w:szCs w:val="31"/>
              </w:rPr>
            </w:pPr>
            <w:r>
              <w:rPr>
                <w:rFonts w:ascii="仿宋" w:hAnsi="仿宋" w:eastAsia="仿宋" w:cs="仿宋"/>
                <w:spacing w:val="5"/>
                <w:sz w:val="31"/>
                <w:szCs w:val="31"/>
              </w:rPr>
              <w:t>专用线长度</w:t>
            </w:r>
          </w:p>
        </w:tc>
        <w:tc>
          <w:tcPr>
            <w:tcW w:w="431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686" w:type="dxa"/>
            <w:vMerge w:val="continue"/>
            <w:tcBorders>
              <w:top w:val="nil"/>
            </w:tcBorders>
            <w:textDirection w:val="tbRlV"/>
            <w:vAlign w:val="top"/>
          </w:tcPr>
          <w:p>
            <w:pPr>
              <w:rPr>
                <w:rFonts w:ascii="Arial"/>
                <w:sz w:val="21"/>
              </w:rPr>
            </w:pPr>
          </w:p>
        </w:tc>
        <w:tc>
          <w:tcPr>
            <w:tcW w:w="1268" w:type="dxa"/>
            <w:vMerge w:val="continue"/>
            <w:tcBorders>
              <w:top w:val="nil"/>
            </w:tcBorders>
            <w:vAlign w:val="top"/>
          </w:tcPr>
          <w:p>
            <w:pPr>
              <w:rPr>
                <w:rFonts w:ascii="Arial"/>
                <w:sz w:val="21"/>
              </w:rPr>
            </w:pPr>
          </w:p>
        </w:tc>
        <w:tc>
          <w:tcPr>
            <w:tcW w:w="2409" w:type="dxa"/>
            <w:vAlign w:val="top"/>
          </w:tcPr>
          <w:p>
            <w:pPr>
              <w:spacing w:before="161" w:line="222" w:lineRule="auto"/>
              <w:ind w:left="252"/>
              <w:rPr>
                <w:rFonts w:ascii="仿宋" w:hAnsi="仿宋" w:eastAsia="仿宋" w:cs="仿宋"/>
                <w:sz w:val="31"/>
                <w:szCs w:val="31"/>
              </w:rPr>
            </w:pPr>
            <w:r>
              <w:rPr>
                <w:rFonts w:ascii="仿宋" w:hAnsi="仿宋" w:eastAsia="仿宋" w:cs="仿宋"/>
                <w:spacing w:val="8"/>
                <w:sz w:val="31"/>
                <w:szCs w:val="31"/>
              </w:rPr>
              <w:t>仓库距专用线</w:t>
            </w:r>
          </w:p>
        </w:tc>
        <w:tc>
          <w:tcPr>
            <w:tcW w:w="4316" w:type="dxa"/>
            <w:vAlign w:val="top"/>
          </w:tcPr>
          <w:p>
            <w:pPr>
              <w:rPr>
                <w:rFonts w:ascii="Arial"/>
                <w:sz w:val="21"/>
              </w:rPr>
            </w:pPr>
          </w:p>
        </w:tc>
      </w:tr>
    </w:tbl>
    <w:p>
      <w:pPr>
        <w:spacing w:before="310" w:line="225" w:lineRule="auto"/>
        <w:ind w:left="122"/>
        <w:rPr>
          <w:rFonts w:ascii="Arial"/>
          <w:sz w:val="2"/>
        </w:rPr>
      </w:pPr>
      <w:r>
        <w:rPr>
          <w:rFonts w:ascii="仿宋" w:hAnsi="仿宋" w:eastAsia="仿宋" w:cs="仿宋"/>
          <w:spacing w:val="2"/>
          <w:sz w:val="31"/>
          <w:szCs w:val="31"/>
        </w:rPr>
        <w:t xml:space="preserve">表 </w:t>
      </w:r>
      <w:r>
        <w:rPr>
          <w:rFonts w:ascii="Times New Roman" w:hAnsi="Times New Roman" w:eastAsia="Times New Roman" w:cs="Times New Roman"/>
          <w:spacing w:val="2"/>
          <w:sz w:val="31"/>
          <w:szCs w:val="31"/>
        </w:rPr>
        <w:t>2</w:t>
      </w:r>
      <w:r>
        <w:rPr>
          <w:rFonts w:ascii="仿宋" w:hAnsi="仿宋" w:eastAsia="仿宋" w:cs="仿宋"/>
          <w:spacing w:val="2"/>
          <w:sz w:val="31"/>
          <w:szCs w:val="31"/>
        </w:rPr>
        <w:t>：银行</w:t>
      </w:r>
      <w:r>
        <w:rPr>
          <w:rFonts w:ascii="仿宋" w:hAnsi="仿宋" w:eastAsia="仿宋" w:cs="仿宋"/>
          <w:spacing w:val="1"/>
          <w:sz w:val="31"/>
          <w:szCs w:val="31"/>
        </w:rPr>
        <w:t>保函使用情况：</w:t>
      </w: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2"/>
        <w:gridCol w:w="1608"/>
        <w:gridCol w:w="1640"/>
        <w:gridCol w:w="1866"/>
        <w:gridCol w:w="1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552" w:type="dxa"/>
            <w:vAlign w:val="top"/>
          </w:tcPr>
          <w:p>
            <w:pPr>
              <w:spacing w:before="161" w:line="223" w:lineRule="auto"/>
              <w:ind w:left="525"/>
              <w:rPr>
                <w:rFonts w:ascii="仿宋" w:hAnsi="仿宋" w:eastAsia="仿宋" w:cs="仿宋"/>
                <w:sz w:val="31"/>
                <w:szCs w:val="31"/>
              </w:rPr>
            </w:pPr>
            <w:r>
              <w:rPr>
                <w:rFonts w:ascii="仿宋" w:hAnsi="仿宋" w:eastAsia="仿宋" w:cs="仿宋"/>
                <w:spacing w:val="-28"/>
                <w:sz w:val="31"/>
                <w:szCs w:val="31"/>
              </w:rPr>
              <w:t>日</w:t>
            </w:r>
            <w:r>
              <w:rPr>
                <w:rFonts w:ascii="仿宋" w:hAnsi="仿宋" w:eastAsia="仿宋" w:cs="仿宋"/>
                <w:spacing w:val="-27"/>
                <w:sz w:val="31"/>
                <w:szCs w:val="31"/>
              </w:rPr>
              <w:t>期</w:t>
            </w:r>
          </w:p>
        </w:tc>
        <w:tc>
          <w:tcPr>
            <w:tcW w:w="1608" w:type="dxa"/>
            <w:vAlign w:val="top"/>
          </w:tcPr>
          <w:p>
            <w:pPr>
              <w:spacing w:before="161" w:line="221" w:lineRule="auto"/>
              <w:ind w:left="175"/>
              <w:rPr>
                <w:rFonts w:ascii="仿宋" w:hAnsi="仿宋" w:eastAsia="仿宋" w:cs="仿宋"/>
                <w:sz w:val="31"/>
                <w:szCs w:val="31"/>
              </w:rPr>
            </w:pPr>
            <w:r>
              <w:rPr>
                <w:rFonts w:ascii="仿宋" w:hAnsi="仿宋" w:eastAsia="仿宋" w:cs="仿宋"/>
                <w:spacing w:val="7"/>
                <w:sz w:val="31"/>
                <w:szCs w:val="31"/>
              </w:rPr>
              <w:t>担</w:t>
            </w:r>
            <w:r>
              <w:rPr>
                <w:rFonts w:ascii="仿宋" w:hAnsi="仿宋" w:eastAsia="仿宋" w:cs="仿宋"/>
                <w:spacing w:val="5"/>
                <w:sz w:val="31"/>
                <w:szCs w:val="31"/>
              </w:rPr>
              <w:t>保银行</w:t>
            </w:r>
          </w:p>
        </w:tc>
        <w:tc>
          <w:tcPr>
            <w:tcW w:w="1640" w:type="dxa"/>
            <w:vAlign w:val="top"/>
          </w:tcPr>
          <w:p>
            <w:pPr>
              <w:spacing w:before="161" w:line="221" w:lineRule="auto"/>
              <w:ind w:left="192"/>
              <w:rPr>
                <w:rFonts w:ascii="仿宋" w:hAnsi="仿宋" w:eastAsia="仿宋" w:cs="仿宋"/>
                <w:sz w:val="31"/>
                <w:szCs w:val="31"/>
              </w:rPr>
            </w:pPr>
            <w:r>
              <w:rPr>
                <w:rFonts w:ascii="仿宋" w:hAnsi="仿宋" w:eastAsia="仿宋" w:cs="仿宋"/>
                <w:spacing w:val="7"/>
                <w:sz w:val="31"/>
                <w:szCs w:val="31"/>
              </w:rPr>
              <w:t>担</w:t>
            </w:r>
            <w:r>
              <w:rPr>
                <w:rFonts w:ascii="仿宋" w:hAnsi="仿宋" w:eastAsia="仿宋" w:cs="仿宋"/>
                <w:spacing w:val="5"/>
                <w:sz w:val="31"/>
                <w:szCs w:val="31"/>
              </w:rPr>
              <w:t>保金额</w:t>
            </w:r>
          </w:p>
        </w:tc>
        <w:tc>
          <w:tcPr>
            <w:tcW w:w="1866" w:type="dxa"/>
            <w:vAlign w:val="top"/>
          </w:tcPr>
          <w:p>
            <w:pPr>
              <w:spacing w:before="161" w:line="223" w:lineRule="auto"/>
              <w:ind w:left="157"/>
              <w:rPr>
                <w:rFonts w:ascii="仿宋" w:hAnsi="仿宋" w:eastAsia="仿宋" w:cs="仿宋"/>
                <w:sz w:val="31"/>
                <w:szCs w:val="31"/>
              </w:rPr>
            </w:pPr>
            <w:r>
              <w:rPr>
                <w:rFonts w:ascii="仿宋" w:hAnsi="仿宋" w:eastAsia="仿宋" w:cs="仿宋"/>
                <w:spacing w:val="6"/>
                <w:sz w:val="31"/>
                <w:szCs w:val="31"/>
              </w:rPr>
              <w:t>到</w:t>
            </w:r>
            <w:r>
              <w:rPr>
                <w:rFonts w:ascii="仿宋" w:hAnsi="仿宋" w:eastAsia="仿宋" w:cs="仿宋"/>
                <w:spacing w:val="4"/>
                <w:sz w:val="31"/>
                <w:szCs w:val="31"/>
              </w:rPr>
              <w:t>期还款日</w:t>
            </w:r>
          </w:p>
        </w:tc>
        <w:tc>
          <w:tcPr>
            <w:tcW w:w="1860" w:type="dxa"/>
            <w:vAlign w:val="top"/>
          </w:tcPr>
          <w:p>
            <w:pPr>
              <w:spacing w:before="161" w:line="223" w:lineRule="auto"/>
              <w:ind w:left="133"/>
              <w:rPr>
                <w:rFonts w:ascii="仿宋" w:hAnsi="仿宋" w:eastAsia="仿宋" w:cs="仿宋"/>
                <w:sz w:val="31"/>
                <w:szCs w:val="31"/>
              </w:rPr>
            </w:pPr>
            <w:r>
              <w:rPr>
                <w:rFonts w:ascii="仿宋" w:hAnsi="仿宋" w:eastAsia="仿宋" w:cs="仿宋"/>
                <w:spacing w:val="8"/>
                <w:sz w:val="31"/>
                <w:szCs w:val="31"/>
              </w:rPr>
              <w:t>是否已还款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pPr>
              <w:rPr>
                <w:rFonts w:ascii="Arial"/>
                <w:sz w:val="21"/>
              </w:rPr>
            </w:pPr>
          </w:p>
        </w:tc>
        <w:tc>
          <w:tcPr>
            <w:tcW w:w="1608" w:type="dxa"/>
            <w:vAlign w:val="top"/>
          </w:tcPr>
          <w:p>
            <w:pPr>
              <w:rPr>
                <w:rFonts w:ascii="Arial"/>
                <w:sz w:val="21"/>
              </w:rPr>
            </w:pPr>
          </w:p>
        </w:tc>
        <w:tc>
          <w:tcPr>
            <w:tcW w:w="1640" w:type="dxa"/>
            <w:vAlign w:val="top"/>
          </w:tcPr>
          <w:p>
            <w:pPr>
              <w:rPr>
                <w:rFonts w:ascii="Arial"/>
                <w:sz w:val="21"/>
              </w:rPr>
            </w:pPr>
          </w:p>
        </w:tc>
        <w:tc>
          <w:tcPr>
            <w:tcW w:w="1866" w:type="dxa"/>
            <w:vAlign w:val="top"/>
          </w:tcPr>
          <w:p>
            <w:pPr>
              <w:rPr>
                <w:rFonts w:ascii="Arial"/>
                <w:sz w:val="21"/>
              </w:rPr>
            </w:pPr>
          </w:p>
        </w:tc>
        <w:tc>
          <w:tcPr>
            <w:tcW w:w="1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pPr>
              <w:rPr>
                <w:rFonts w:ascii="Arial"/>
                <w:sz w:val="21"/>
              </w:rPr>
            </w:pPr>
          </w:p>
        </w:tc>
        <w:tc>
          <w:tcPr>
            <w:tcW w:w="1608" w:type="dxa"/>
            <w:vAlign w:val="top"/>
          </w:tcPr>
          <w:p>
            <w:pPr>
              <w:rPr>
                <w:rFonts w:ascii="Arial"/>
                <w:sz w:val="21"/>
              </w:rPr>
            </w:pPr>
          </w:p>
        </w:tc>
        <w:tc>
          <w:tcPr>
            <w:tcW w:w="1640" w:type="dxa"/>
            <w:vAlign w:val="top"/>
          </w:tcPr>
          <w:p>
            <w:pPr>
              <w:rPr>
                <w:rFonts w:ascii="Arial"/>
                <w:sz w:val="21"/>
              </w:rPr>
            </w:pPr>
          </w:p>
        </w:tc>
        <w:tc>
          <w:tcPr>
            <w:tcW w:w="1866" w:type="dxa"/>
            <w:vAlign w:val="top"/>
          </w:tcPr>
          <w:p>
            <w:pPr>
              <w:rPr>
                <w:rFonts w:ascii="Arial"/>
                <w:sz w:val="21"/>
              </w:rPr>
            </w:pPr>
          </w:p>
        </w:tc>
        <w:tc>
          <w:tcPr>
            <w:tcW w:w="1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52" w:type="dxa"/>
            <w:vAlign w:val="top"/>
          </w:tcPr>
          <w:p>
            <w:pPr>
              <w:rPr>
                <w:rFonts w:ascii="Arial"/>
                <w:sz w:val="21"/>
              </w:rPr>
            </w:pPr>
          </w:p>
        </w:tc>
        <w:tc>
          <w:tcPr>
            <w:tcW w:w="1608" w:type="dxa"/>
            <w:vAlign w:val="top"/>
          </w:tcPr>
          <w:p>
            <w:pPr>
              <w:rPr>
                <w:rFonts w:ascii="Arial"/>
                <w:sz w:val="21"/>
              </w:rPr>
            </w:pPr>
          </w:p>
        </w:tc>
        <w:tc>
          <w:tcPr>
            <w:tcW w:w="1640" w:type="dxa"/>
            <w:vAlign w:val="top"/>
          </w:tcPr>
          <w:p>
            <w:pPr>
              <w:rPr>
                <w:rFonts w:ascii="Arial"/>
                <w:sz w:val="21"/>
              </w:rPr>
            </w:pPr>
          </w:p>
        </w:tc>
        <w:tc>
          <w:tcPr>
            <w:tcW w:w="1866" w:type="dxa"/>
            <w:vAlign w:val="top"/>
          </w:tcPr>
          <w:p>
            <w:pPr>
              <w:rPr>
                <w:rFonts w:ascii="Arial"/>
                <w:sz w:val="21"/>
              </w:rPr>
            </w:pPr>
          </w:p>
        </w:tc>
        <w:tc>
          <w:tcPr>
            <w:tcW w:w="1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552" w:type="dxa"/>
            <w:vAlign w:val="top"/>
          </w:tcPr>
          <w:p>
            <w:pPr>
              <w:rPr>
                <w:rFonts w:ascii="Arial"/>
                <w:sz w:val="21"/>
              </w:rPr>
            </w:pPr>
          </w:p>
        </w:tc>
        <w:tc>
          <w:tcPr>
            <w:tcW w:w="1608" w:type="dxa"/>
            <w:vAlign w:val="top"/>
          </w:tcPr>
          <w:p>
            <w:pPr>
              <w:rPr>
                <w:rFonts w:ascii="Arial"/>
                <w:sz w:val="21"/>
              </w:rPr>
            </w:pPr>
          </w:p>
        </w:tc>
        <w:tc>
          <w:tcPr>
            <w:tcW w:w="1640" w:type="dxa"/>
            <w:vAlign w:val="top"/>
          </w:tcPr>
          <w:p>
            <w:pPr>
              <w:rPr>
                <w:rFonts w:ascii="Arial"/>
                <w:sz w:val="21"/>
              </w:rPr>
            </w:pPr>
          </w:p>
        </w:tc>
        <w:tc>
          <w:tcPr>
            <w:tcW w:w="1866" w:type="dxa"/>
            <w:vAlign w:val="top"/>
          </w:tcPr>
          <w:p>
            <w:pPr>
              <w:rPr>
                <w:rFonts w:ascii="Arial"/>
                <w:sz w:val="21"/>
              </w:rPr>
            </w:pPr>
          </w:p>
        </w:tc>
        <w:tc>
          <w:tcPr>
            <w:tcW w:w="1860" w:type="dxa"/>
            <w:vAlign w:val="top"/>
          </w:tcPr>
          <w:p>
            <w:pPr>
              <w:rPr>
                <w:rFonts w:ascii="Arial"/>
                <w:sz w:val="21"/>
              </w:rPr>
            </w:pPr>
          </w:p>
        </w:tc>
      </w:tr>
    </w:tbl>
    <w:p>
      <w:pPr>
        <w:spacing w:before="310" w:line="225" w:lineRule="auto"/>
        <w:ind w:left="122"/>
        <w:rPr>
          <w:rFonts w:ascii="Arial"/>
          <w:sz w:val="2"/>
        </w:rPr>
      </w:pPr>
      <w:r>
        <w:rPr>
          <w:rFonts w:ascii="仿宋" w:hAnsi="仿宋" w:eastAsia="仿宋" w:cs="仿宋"/>
          <w:spacing w:val="-4"/>
          <w:sz w:val="31"/>
          <w:szCs w:val="31"/>
        </w:rPr>
        <w:t xml:space="preserve">表 </w:t>
      </w:r>
      <w:r>
        <w:rPr>
          <w:rFonts w:ascii="Times New Roman" w:hAnsi="Times New Roman" w:eastAsia="Times New Roman" w:cs="Times New Roman"/>
          <w:spacing w:val="-3"/>
          <w:sz w:val="31"/>
          <w:szCs w:val="31"/>
        </w:rPr>
        <w:t>3</w:t>
      </w:r>
      <w:r>
        <w:rPr>
          <w:rFonts w:ascii="仿宋" w:hAnsi="仿宋" w:eastAsia="仿宋" w:cs="仿宋"/>
          <w:spacing w:val="-2"/>
          <w:sz w:val="31"/>
          <w:szCs w:val="31"/>
        </w:rPr>
        <w:t>：产品质量：</w:t>
      </w: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703"/>
        <w:gridCol w:w="1704"/>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8" w:type="dxa"/>
            <w:vAlign w:val="top"/>
          </w:tcPr>
          <w:p>
            <w:pPr>
              <w:spacing w:before="161" w:line="224" w:lineRule="auto"/>
              <w:ind w:left="237"/>
              <w:rPr>
                <w:rFonts w:ascii="仿宋" w:hAnsi="仿宋" w:eastAsia="仿宋" w:cs="仿宋"/>
                <w:sz w:val="31"/>
                <w:szCs w:val="31"/>
              </w:rPr>
            </w:pPr>
            <w:r>
              <w:rPr>
                <w:rFonts w:ascii="仿宋" w:hAnsi="仿宋" w:eastAsia="仿宋" w:cs="仿宋"/>
                <w:spacing w:val="3"/>
                <w:sz w:val="31"/>
                <w:szCs w:val="31"/>
              </w:rPr>
              <w:t>主要产品</w:t>
            </w:r>
          </w:p>
        </w:tc>
        <w:tc>
          <w:tcPr>
            <w:tcW w:w="1703" w:type="dxa"/>
            <w:vAlign w:val="top"/>
          </w:tcPr>
          <w:p>
            <w:pPr>
              <w:spacing w:before="161" w:line="221" w:lineRule="auto"/>
              <w:ind w:left="548"/>
              <w:rPr>
                <w:rFonts w:ascii="仿宋" w:hAnsi="仿宋" w:eastAsia="仿宋" w:cs="仿宋"/>
                <w:sz w:val="31"/>
                <w:szCs w:val="31"/>
              </w:rPr>
            </w:pPr>
            <w:r>
              <w:rPr>
                <w:rFonts w:ascii="仿宋" w:hAnsi="仿宋" w:eastAsia="仿宋" w:cs="仿宋"/>
                <w:spacing w:val="-1"/>
                <w:sz w:val="31"/>
                <w:szCs w:val="31"/>
              </w:rPr>
              <w:t>单位</w:t>
            </w:r>
          </w:p>
        </w:tc>
        <w:tc>
          <w:tcPr>
            <w:tcW w:w="1703" w:type="dxa"/>
            <w:vAlign w:val="top"/>
          </w:tcPr>
          <w:p>
            <w:pPr>
              <w:spacing w:before="161" w:line="224" w:lineRule="auto"/>
              <w:ind w:left="401"/>
              <w:rPr>
                <w:rFonts w:ascii="仿宋" w:hAnsi="仿宋" w:eastAsia="仿宋" w:cs="仿宋"/>
                <w:sz w:val="31"/>
                <w:szCs w:val="31"/>
              </w:rPr>
            </w:pPr>
            <w:r>
              <w:rPr>
                <w:rFonts w:ascii="仿宋" w:hAnsi="仿宋" w:eastAsia="仿宋" w:cs="仿宋"/>
                <w:spacing w:val="-1"/>
                <w:sz w:val="31"/>
                <w:szCs w:val="31"/>
              </w:rPr>
              <w:t>生产量</w:t>
            </w:r>
          </w:p>
        </w:tc>
        <w:tc>
          <w:tcPr>
            <w:tcW w:w="1704" w:type="dxa"/>
            <w:vAlign w:val="top"/>
          </w:tcPr>
          <w:p>
            <w:pPr>
              <w:spacing w:before="161" w:line="221" w:lineRule="auto"/>
              <w:ind w:left="377"/>
              <w:rPr>
                <w:rFonts w:ascii="仿宋" w:hAnsi="仿宋" w:eastAsia="仿宋" w:cs="仿宋"/>
                <w:sz w:val="31"/>
                <w:szCs w:val="31"/>
              </w:rPr>
            </w:pPr>
            <w:r>
              <w:rPr>
                <w:rFonts w:ascii="仿宋" w:hAnsi="仿宋" w:eastAsia="仿宋" w:cs="仿宋"/>
                <w:spacing w:val="8"/>
                <w:sz w:val="31"/>
                <w:szCs w:val="31"/>
              </w:rPr>
              <w:t>销</w:t>
            </w:r>
            <w:r>
              <w:rPr>
                <w:rFonts w:ascii="仿宋" w:hAnsi="仿宋" w:eastAsia="仿宋" w:cs="仿宋"/>
                <w:spacing w:val="7"/>
                <w:sz w:val="31"/>
                <w:szCs w:val="31"/>
              </w:rPr>
              <w:t>售量</w:t>
            </w:r>
          </w:p>
        </w:tc>
        <w:tc>
          <w:tcPr>
            <w:tcW w:w="1708" w:type="dxa"/>
            <w:vAlign w:val="top"/>
          </w:tcPr>
          <w:p>
            <w:pPr>
              <w:spacing w:before="160" w:line="220" w:lineRule="auto"/>
              <w:ind w:left="377"/>
              <w:rPr>
                <w:rFonts w:ascii="仿宋" w:hAnsi="仿宋" w:eastAsia="仿宋" w:cs="仿宋"/>
                <w:sz w:val="31"/>
                <w:szCs w:val="31"/>
              </w:rPr>
            </w:pPr>
            <w:r>
              <w:rPr>
                <w:rFonts w:ascii="仿宋" w:hAnsi="仿宋" w:eastAsia="仿宋" w:cs="仿宋"/>
                <w:spacing w:val="8"/>
                <w:sz w:val="31"/>
                <w:szCs w:val="31"/>
              </w:rPr>
              <w:t>库</w:t>
            </w:r>
            <w:r>
              <w:rPr>
                <w:rFonts w:ascii="仿宋" w:hAnsi="仿宋" w:eastAsia="仿宋" w:cs="仿宋"/>
                <w:spacing w:val="7"/>
                <w:sz w:val="31"/>
                <w:szCs w:val="31"/>
              </w:rPr>
              <w:t>存量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bl>
    <w:p>
      <w:pPr>
        <w:keepNext w:val="0"/>
        <w:keepLines w:val="0"/>
        <w:pageBreakBefore w:val="0"/>
        <w:widowControl w:val="0"/>
        <w:kinsoku/>
        <w:wordWrap/>
        <w:overflowPunct/>
        <w:topLinePunct w:val="0"/>
        <w:autoSpaceDE/>
        <w:autoSpaceDN/>
        <w:bidi w:val="0"/>
        <w:adjustRightInd/>
        <w:snapToGrid/>
        <w:spacing w:line="560" w:lineRule="exact"/>
        <w:ind w:right="91"/>
        <w:textAlignment w:val="auto"/>
        <w:rPr>
          <w:rFonts w:hint="eastAsia" w:ascii="Times New Roman" w:hAnsi="Times New Roman" w:eastAsia="仿宋_GB2312" w:cs="Times New Roman"/>
          <w:spacing w:val="7"/>
          <w:sz w:val="32"/>
          <w:szCs w:val="32"/>
          <w:highlight w:val="none"/>
          <w:lang w:val="en-US" w:eastAsia="zh-CN"/>
        </w:rPr>
      </w:pPr>
    </w:p>
    <w:p>
      <w:pPr>
        <w:spacing w:before="101" w:line="225" w:lineRule="auto"/>
        <w:ind w:left="122"/>
        <w:rPr>
          <w:rFonts w:ascii="Arial"/>
          <w:sz w:val="2"/>
        </w:rPr>
      </w:pPr>
      <w:r>
        <w:rPr>
          <w:rFonts w:ascii="仿宋" w:hAnsi="仿宋" w:eastAsia="仿宋" w:cs="仿宋"/>
          <w:spacing w:val="2"/>
          <w:sz w:val="31"/>
          <w:szCs w:val="31"/>
        </w:rPr>
        <w:t xml:space="preserve">表 </w:t>
      </w:r>
      <w:r>
        <w:rPr>
          <w:rFonts w:ascii="Times New Roman" w:hAnsi="Times New Roman" w:eastAsia="Times New Roman" w:cs="Times New Roman"/>
          <w:spacing w:val="2"/>
          <w:sz w:val="31"/>
          <w:szCs w:val="31"/>
        </w:rPr>
        <w:t>4</w:t>
      </w:r>
      <w:r>
        <w:rPr>
          <w:rFonts w:ascii="仿宋" w:hAnsi="仿宋" w:eastAsia="仿宋" w:cs="仿宋"/>
          <w:spacing w:val="2"/>
          <w:sz w:val="31"/>
          <w:szCs w:val="31"/>
        </w:rPr>
        <w:t>：下游企</w:t>
      </w:r>
      <w:r>
        <w:rPr>
          <w:rFonts w:ascii="仿宋" w:hAnsi="仿宋" w:eastAsia="仿宋" w:cs="仿宋"/>
          <w:spacing w:val="1"/>
          <w:sz w:val="31"/>
          <w:szCs w:val="31"/>
        </w:rPr>
        <w:t>业销售情况</w:t>
      </w: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3"/>
        <w:gridCol w:w="1703"/>
        <w:gridCol w:w="1704"/>
        <w:gridCol w:w="17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708" w:type="dxa"/>
            <w:vAlign w:val="top"/>
          </w:tcPr>
          <w:p>
            <w:pPr>
              <w:spacing w:line="369" w:lineRule="auto"/>
              <w:rPr>
                <w:rFonts w:ascii="Arial"/>
                <w:sz w:val="21"/>
              </w:rPr>
            </w:pPr>
          </w:p>
          <w:p>
            <w:pPr>
              <w:spacing w:before="100" w:line="221" w:lineRule="auto"/>
              <w:ind w:left="225"/>
              <w:rPr>
                <w:rFonts w:ascii="仿宋" w:hAnsi="仿宋" w:eastAsia="仿宋" w:cs="仿宋"/>
                <w:sz w:val="31"/>
                <w:szCs w:val="31"/>
              </w:rPr>
            </w:pPr>
            <w:r>
              <w:rPr>
                <w:rFonts w:ascii="仿宋" w:hAnsi="仿宋" w:eastAsia="仿宋" w:cs="仿宋"/>
                <w:spacing w:val="6"/>
                <w:sz w:val="31"/>
                <w:szCs w:val="31"/>
              </w:rPr>
              <w:t>企业名</w:t>
            </w:r>
            <w:r>
              <w:rPr>
                <w:rFonts w:ascii="仿宋" w:hAnsi="仿宋" w:eastAsia="仿宋" w:cs="仿宋"/>
                <w:spacing w:val="5"/>
                <w:sz w:val="31"/>
                <w:szCs w:val="31"/>
              </w:rPr>
              <w:t>称</w:t>
            </w:r>
          </w:p>
        </w:tc>
        <w:tc>
          <w:tcPr>
            <w:tcW w:w="1703" w:type="dxa"/>
            <w:vAlign w:val="top"/>
          </w:tcPr>
          <w:p>
            <w:pPr>
              <w:spacing w:line="369" w:lineRule="auto"/>
              <w:rPr>
                <w:rFonts w:ascii="Arial"/>
                <w:sz w:val="21"/>
              </w:rPr>
            </w:pPr>
          </w:p>
          <w:p>
            <w:pPr>
              <w:spacing w:before="100" w:line="221" w:lineRule="auto"/>
              <w:ind w:left="375"/>
              <w:rPr>
                <w:rFonts w:ascii="仿宋" w:hAnsi="仿宋" w:eastAsia="仿宋" w:cs="仿宋"/>
                <w:sz w:val="31"/>
                <w:szCs w:val="31"/>
              </w:rPr>
            </w:pPr>
            <w:r>
              <w:rPr>
                <w:rFonts w:ascii="仿宋" w:hAnsi="仿宋" w:eastAsia="仿宋" w:cs="仿宋"/>
                <w:spacing w:val="8"/>
                <w:sz w:val="31"/>
                <w:szCs w:val="31"/>
              </w:rPr>
              <w:t>销</w:t>
            </w:r>
            <w:r>
              <w:rPr>
                <w:rFonts w:ascii="仿宋" w:hAnsi="仿宋" w:eastAsia="仿宋" w:cs="仿宋"/>
                <w:spacing w:val="7"/>
                <w:sz w:val="31"/>
                <w:szCs w:val="31"/>
              </w:rPr>
              <w:t>售量</w:t>
            </w:r>
          </w:p>
        </w:tc>
        <w:tc>
          <w:tcPr>
            <w:tcW w:w="1703" w:type="dxa"/>
            <w:vAlign w:val="top"/>
          </w:tcPr>
          <w:p>
            <w:pPr>
              <w:spacing w:line="369" w:lineRule="auto"/>
              <w:rPr>
                <w:rFonts w:ascii="Arial"/>
                <w:sz w:val="21"/>
              </w:rPr>
            </w:pPr>
          </w:p>
          <w:p>
            <w:pPr>
              <w:spacing w:before="100" w:line="221" w:lineRule="auto"/>
              <w:ind w:left="376"/>
              <w:rPr>
                <w:rFonts w:ascii="仿宋" w:hAnsi="仿宋" w:eastAsia="仿宋" w:cs="仿宋"/>
                <w:sz w:val="31"/>
                <w:szCs w:val="31"/>
              </w:rPr>
            </w:pPr>
            <w:r>
              <w:rPr>
                <w:rFonts w:ascii="仿宋" w:hAnsi="仿宋" w:eastAsia="仿宋" w:cs="仿宋"/>
                <w:spacing w:val="8"/>
                <w:sz w:val="31"/>
                <w:szCs w:val="31"/>
              </w:rPr>
              <w:t>销</w:t>
            </w:r>
            <w:r>
              <w:rPr>
                <w:rFonts w:ascii="仿宋" w:hAnsi="仿宋" w:eastAsia="仿宋" w:cs="仿宋"/>
                <w:spacing w:val="7"/>
                <w:sz w:val="31"/>
                <w:szCs w:val="31"/>
              </w:rPr>
              <w:t>售额</w:t>
            </w:r>
          </w:p>
        </w:tc>
        <w:tc>
          <w:tcPr>
            <w:tcW w:w="1704" w:type="dxa"/>
            <w:vAlign w:val="top"/>
          </w:tcPr>
          <w:p>
            <w:pPr>
              <w:spacing w:line="368" w:lineRule="auto"/>
              <w:rPr>
                <w:rFonts w:ascii="Arial"/>
                <w:sz w:val="21"/>
              </w:rPr>
            </w:pPr>
          </w:p>
          <w:p>
            <w:pPr>
              <w:spacing w:before="101" w:line="224" w:lineRule="auto"/>
              <w:ind w:left="543"/>
              <w:rPr>
                <w:rFonts w:ascii="仿宋" w:hAnsi="仿宋" w:eastAsia="仿宋" w:cs="仿宋"/>
                <w:sz w:val="31"/>
                <w:szCs w:val="31"/>
              </w:rPr>
            </w:pPr>
            <w:r>
              <w:rPr>
                <w:rFonts w:ascii="仿宋" w:hAnsi="仿宋" w:eastAsia="仿宋" w:cs="仿宋"/>
                <w:spacing w:val="3"/>
                <w:sz w:val="31"/>
                <w:szCs w:val="31"/>
              </w:rPr>
              <w:t>产</w:t>
            </w:r>
            <w:r>
              <w:rPr>
                <w:rFonts w:ascii="仿宋" w:hAnsi="仿宋" w:eastAsia="仿宋" w:cs="仿宋"/>
                <w:spacing w:val="2"/>
                <w:sz w:val="31"/>
                <w:szCs w:val="31"/>
              </w:rPr>
              <w:t>品</w:t>
            </w:r>
          </w:p>
        </w:tc>
        <w:tc>
          <w:tcPr>
            <w:tcW w:w="1708" w:type="dxa"/>
            <w:vAlign w:val="top"/>
          </w:tcPr>
          <w:p>
            <w:pPr>
              <w:spacing w:before="160" w:line="624" w:lineRule="exact"/>
              <w:ind w:left="218"/>
              <w:rPr>
                <w:rFonts w:ascii="仿宋" w:hAnsi="仿宋" w:eastAsia="仿宋" w:cs="仿宋"/>
                <w:sz w:val="31"/>
                <w:szCs w:val="31"/>
              </w:rPr>
            </w:pPr>
            <w:r>
              <w:rPr>
                <w:rFonts w:ascii="仿宋" w:hAnsi="仿宋" w:eastAsia="仿宋" w:cs="仿宋"/>
                <w:spacing w:val="8"/>
                <w:position w:val="23"/>
                <w:sz w:val="31"/>
                <w:szCs w:val="31"/>
              </w:rPr>
              <w:t>是否签</w:t>
            </w:r>
            <w:r>
              <w:rPr>
                <w:rFonts w:ascii="仿宋" w:hAnsi="仿宋" w:eastAsia="仿宋" w:cs="仿宋"/>
                <w:spacing w:val="7"/>
                <w:position w:val="23"/>
                <w:sz w:val="31"/>
                <w:szCs w:val="31"/>
              </w:rPr>
              <w:t>署</w:t>
            </w:r>
          </w:p>
          <w:p>
            <w:pPr>
              <w:spacing w:line="222" w:lineRule="auto"/>
              <w:ind w:left="227"/>
              <w:rPr>
                <w:rFonts w:ascii="仿宋" w:hAnsi="仿宋" w:eastAsia="仿宋" w:cs="仿宋"/>
                <w:sz w:val="31"/>
                <w:szCs w:val="31"/>
              </w:rPr>
            </w:pPr>
            <w:r>
              <w:rPr>
                <w:rFonts w:ascii="仿宋" w:hAnsi="仿宋" w:eastAsia="仿宋" w:cs="仿宋"/>
                <w:spacing w:val="7"/>
                <w:sz w:val="31"/>
                <w:szCs w:val="31"/>
              </w:rPr>
              <w:t>长</w:t>
            </w:r>
            <w:r>
              <w:rPr>
                <w:rFonts w:ascii="仿宋" w:hAnsi="仿宋" w:eastAsia="仿宋" w:cs="仿宋"/>
                <w:spacing w:val="5"/>
                <w:sz w:val="31"/>
                <w:szCs w:val="31"/>
              </w:rPr>
              <w:t>期协议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08"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704" w:type="dxa"/>
            <w:vAlign w:val="top"/>
          </w:tcPr>
          <w:p>
            <w:pPr>
              <w:rPr>
                <w:rFonts w:ascii="Arial"/>
                <w:sz w:val="21"/>
              </w:rPr>
            </w:pPr>
          </w:p>
        </w:tc>
        <w:tc>
          <w:tcPr>
            <w:tcW w:w="1708" w:type="dxa"/>
            <w:vAlign w:val="top"/>
          </w:tcPr>
          <w:p>
            <w:pPr>
              <w:rPr>
                <w:rFonts w:ascii="Arial"/>
                <w:sz w:val="21"/>
              </w:rPr>
            </w:pPr>
          </w:p>
        </w:tc>
      </w:tr>
    </w:tbl>
    <w:p>
      <w:pPr>
        <w:spacing w:line="262" w:lineRule="auto"/>
        <w:rPr>
          <w:rFonts w:ascii="Arial"/>
          <w:sz w:val="21"/>
        </w:rPr>
      </w:pPr>
    </w:p>
    <w:p>
      <w:pPr>
        <w:spacing w:before="100" w:line="225" w:lineRule="auto"/>
        <w:ind w:left="122"/>
      </w:pPr>
      <w:r>
        <w:rPr>
          <w:rFonts w:ascii="仿宋" w:hAnsi="仿宋" w:eastAsia="仿宋" w:cs="仿宋"/>
          <w:spacing w:val="-1"/>
          <w:sz w:val="31"/>
          <w:szCs w:val="31"/>
        </w:rPr>
        <w:t xml:space="preserve">表 </w:t>
      </w:r>
      <w:r>
        <w:rPr>
          <w:rFonts w:ascii="Times New Roman" w:hAnsi="Times New Roman" w:eastAsia="Times New Roman" w:cs="Times New Roman"/>
          <w:sz w:val="31"/>
          <w:szCs w:val="31"/>
        </w:rPr>
        <w:t>5</w:t>
      </w:r>
      <w:r>
        <w:rPr>
          <w:rFonts w:ascii="仿宋" w:hAnsi="仿宋" w:eastAsia="仿宋" w:cs="仿宋"/>
          <w:sz w:val="31"/>
          <w:szCs w:val="31"/>
        </w:rPr>
        <w:t>：意向交割地点</w:t>
      </w:r>
    </w:p>
    <w:p>
      <w:pPr>
        <w:spacing w:line="75" w:lineRule="exact"/>
      </w:pPr>
    </w:p>
    <w:tbl>
      <w:tblPr>
        <w:tblStyle w:val="8"/>
        <w:tblW w:w="88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3"/>
        <w:gridCol w:w="59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893" w:type="dxa"/>
            <w:vAlign w:val="top"/>
          </w:tcPr>
          <w:p>
            <w:pPr>
              <w:spacing w:before="160" w:line="224" w:lineRule="auto"/>
              <w:ind w:left="1181"/>
              <w:rPr>
                <w:rFonts w:ascii="仿宋" w:hAnsi="仿宋" w:eastAsia="仿宋" w:cs="仿宋"/>
                <w:sz w:val="31"/>
                <w:szCs w:val="31"/>
              </w:rPr>
            </w:pPr>
            <w:r>
              <w:rPr>
                <w:rFonts w:ascii="仿宋" w:hAnsi="仿宋" w:eastAsia="仿宋" w:cs="仿宋"/>
                <w:spacing w:val="-19"/>
                <w:sz w:val="31"/>
                <w:szCs w:val="31"/>
              </w:rPr>
              <w:t>区域</w:t>
            </w:r>
          </w:p>
        </w:tc>
        <w:tc>
          <w:tcPr>
            <w:tcW w:w="5971" w:type="dxa"/>
            <w:vAlign w:val="top"/>
          </w:tcPr>
          <w:p>
            <w:pPr>
              <w:spacing w:before="160" w:line="221" w:lineRule="auto"/>
              <w:ind w:left="1726"/>
              <w:rPr>
                <w:rFonts w:ascii="仿宋" w:hAnsi="仿宋" w:eastAsia="仿宋" w:cs="仿宋"/>
                <w:sz w:val="31"/>
                <w:szCs w:val="31"/>
              </w:rPr>
            </w:pPr>
            <w:r>
              <w:rPr>
                <w:rFonts w:ascii="仿宋" w:hAnsi="仿宋" w:eastAsia="仿宋" w:cs="仿宋"/>
                <w:spacing w:val="7"/>
                <w:sz w:val="31"/>
                <w:szCs w:val="31"/>
              </w:rPr>
              <w:t>交割地点详细信</w:t>
            </w:r>
            <w:r>
              <w:rPr>
                <w:rFonts w:ascii="仿宋" w:hAnsi="仿宋" w:eastAsia="仿宋" w:cs="仿宋"/>
                <w:spacing w:val="5"/>
                <w:sz w:val="31"/>
                <w:szCs w:val="31"/>
              </w:rPr>
              <w:t>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93" w:type="dxa"/>
            <w:vAlign w:val="top"/>
          </w:tcPr>
          <w:p>
            <w:pPr>
              <w:rPr>
                <w:rFonts w:ascii="Arial"/>
                <w:sz w:val="21"/>
              </w:rPr>
            </w:pPr>
          </w:p>
        </w:tc>
        <w:tc>
          <w:tcPr>
            <w:tcW w:w="59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93" w:type="dxa"/>
            <w:vAlign w:val="top"/>
          </w:tcPr>
          <w:p>
            <w:pPr>
              <w:rPr>
                <w:rFonts w:ascii="Arial"/>
                <w:sz w:val="21"/>
              </w:rPr>
            </w:pPr>
          </w:p>
        </w:tc>
        <w:tc>
          <w:tcPr>
            <w:tcW w:w="59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93" w:type="dxa"/>
            <w:vAlign w:val="top"/>
          </w:tcPr>
          <w:p>
            <w:pPr>
              <w:rPr>
                <w:rFonts w:ascii="Arial"/>
                <w:sz w:val="21"/>
              </w:rPr>
            </w:pPr>
          </w:p>
        </w:tc>
        <w:tc>
          <w:tcPr>
            <w:tcW w:w="59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893" w:type="dxa"/>
            <w:vAlign w:val="top"/>
          </w:tcPr>
          <w:p>
            <w:pPr>
              <w:rPr>
                <w:rFonts w:ascii="Arial"/>
                <w:sz w:val="21"/>
              </w:rPr>
            </w:pPr>
          </w:p>
        </w:tc>
        <w:tc>
          <w:tcPr>
            <w:tcW w:w="597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893" w:type="dxa"/>
            <w:vAlign w:val="top"/>
          </w:tcPr>
          <w:p>
            <w:pPr>
              <w:rPr>
                <w:rFonts w:ascii="Arial"/>
                <w:sz w:val="21"/>
              </w:rPr>
            </w:pPr>
          </w:p>
        </w:tc>
        <w:tc>
          <w:tcPr>
            <w:tcW w:w="5971" w:type="dxa"/>
            <w:vAlign w:val="top"/>
          </w:tcPr>
          <w:p>
            <w:pPr>
              <w:rPr>
                <w:rFonts w:ascii="Arial"/>
                <w:sz w:val="21"/>
              </w:rPr>
            </w:pPr>
          </w:p>
        </w:tc>
      </w:tr>
    </w:tbl>
    <w:p>
      <w:pPr>
        <w:keepNext w:val="0"/>
        <w:keepLines w:val="0"/>
        <w:pageBreakBefore w:val="0"/>
        <w:widowControl w:val="0"/>
        <w:kinsoku/>
        <w:wordWrap/>
        <w:overflowPunct/>
        <w:topLinePunct w:val="0"/>
        <w:autoSpaceDE/>
        <w:autoSpaceDN/>
        <w:bidi w:val="0"/>
        <w:adjustRightInd/>
        <w:snapToGrid/>
        <w:spacing w:line="560" w:lineRule="exact"/>
        <w:ind w:right="91"/>
        <w:textAlignment w:val="auto"/>
        <w:rPr>
          <w:rFonts w:hint="eastAsia" w:ascii="Times New Roman" w:hAnsi="Times New Roman" w:eastAsia="仿宋_GB2312" w:cs="Times New Roman"/>
          <w:spacing w:val="7"/>
          <w:sz w:val="32"/>
          <w:szCs w:val="32"/>
          <w:highlight w:val="none"/>
          <w:lang w:val="en-US" w:eastAsia="zh-CN"/>
        </w:rPr>
      </w:pPr>
    </w:p>
    <w:p>
      <w:pPr>
        <w:rPr>
          <w:rFonts w:hint="default" w:ascii="黑体" w:hAnsi="黑体" w:eastAsia="黑体" w:cs="黑体"/>
          <w:kern w:val="0"/>
          <w:sz w:val="32"/>
          <w:szCs w:val="32"/>
          <w:lang w:val="en-US" w:eastAsia="zh-CN" w:bidi="ar"/>
        </w:rPr>
      </w:pPr>
      <w:r>
        <w:rPr>
          <w:rFonts w:hint="eastAsia" w:ascii="黑体" w:hAnsi="黑体" w:eastAsia="黑体" w:cs="黑体"/>
          <w:kern w:val="0"/>
          <w:sz w:val="32"/>
          <w:szCs w:val="32"/>
          <w:lang w:val="en-US" w:eastAsia="zh-CN" w:bidi="ar"/>
        </w:rPr>
        <w:t>附件3</w:t>
      </w: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hint="default" w:ascii="Times New Roman" w:hAnsi="Times New Roman" w:cs="Times New Roman"/>
          <w:lang w:val="en-US"/>
        </w:rPr>
      </w:pPr>
      <w:r>
        <w:rPr>
          <w:rFonts w:hint="eastAsia" w:ascii="Times New Roman" w:hAnsi="Times New Roman" w:cs="Times New Roman"/>
          <w:lang w:val="en-US" w:eastAsia="zh-CN"/>
        </w:rPr>
        <w:t>广州期货交易所交割仓库资格申请表</w:t>
      </w:r>
    </w:p>
    <w:p>
      <w:pPr>
        <w:pStyle w:val="6"/>
        <w:rPr>
          <w:rFonts w:ascii="Times New Roman" w:hAnsi="Times New Roman" w:cs="Times New Roman"/>
        </w:rPr>
      </w:pPr>
    </w:p>
    <w:p>
      <w:pPr>
        <w:pStyle w:val="6"/>
        <w:rPr>
          <w:rFonts w:ascii="Times New Roman" w:hAnsi="Times New Roman" w:cs="Times New Roman"/>
        </w:rPr>
      </w:pPr>
    </w:p>
    <w:p>
      <w:pPr>
        <w:pStyle w:val="6"/>
        <w:jc w:val="both"/>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p>
    <w:p>
      <w:pPr>
        <w:pStyle w:val="6"/>
        <w:rPr>
          <w:rFonts w:ascii="Times New Roman" w:hAnsi="Times New Roman" w:cs="Times New Roman"/>
        </w:rPr>
      </w:pPr>
      <w:r>
        <w:rPr>
          <w:rFonts w:ascii="Times New Roman" w:hAnsi="Times New Roman" w:cs="Times New Roman"/>
        </w:rPr>
        <w:drawing>
          <wp:anchor distT="0" distB="0" distL="114300" distR="114300" simplePos="0" relativeHeight="251664384" behindDoc="0" locked="0" layoutInCell="1" allowOverlap="1">
            <wp:simplePos x="0" y="0"/>
            <wp:positionH relativeFrom="column">
              <wp:posOffset>1965960</wp:posOffset>
            </wp:positionH>
            <wp:positionV relativeFrom="paragraph">
              <wp:posOffset>201295</wp:posOffset>
            </wp:positionV>
            <wp:extent cx="1342390" cy="899795"/>
            <wp:effectExtent l="0" t="0" r="3810" b="190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342390" cy="899795"/>
                    </a:xfrm>
                    <a:prstGeom prst="rect">
                      <a:avLst/>
                    </a:prstGeom>
                    <a:noFill/>
                    <a:ln>
                      <a:noFill/>
                    </a:ln>
                  </pic:spPr>
                </pic:pic>
              </a:graphicData>
            </a:graphic>
          </wp:anchor>
        </w:drawing>
      </w:r>
    </w:p>
    <w:p>
      <w:pPr>
        <w:pStyle w:val="6"/>
        <w:rPr>
          <w:rFonts w:ascii="Times New Roman" w:hAnsi="Times New Roman" w:cs="Times New Roman"/>
        </w:rPr>
      </w:pPr>
    </w:p>
    <w:p>
      <w:pPr>
        <w:pStyle w:val="6"/>
        <w:rPr>
          <w:rFonts w:ascii="Times New Roman" w:hAnsi="Times New Roman" w:cs="Times New Roman"/>
        </w:rPr>
      </w:pPr>
    </w:p>
    <w:p>
      <w:pPr>
        <w:jc w:val="center"/>
        <w:rPr>
          <w:rFonts w:ascii="Times New Roman" w:hAnsi="Times New Roman" w:eastAsia="仿宋_GB2312" w:cs="Times New Roman"/>
          <w:sz w:val="32"/>
        </w:rPr>
      </w:pPr>
      <w:r>
        <w:rPr>
          <w:rFonts w:hint="eastAsia" w:ascii="Times New Roman" w:hAnsi="Times New Roman" w:eastAsia="仿宋_GB2312" w:cs="Times New Roman"/>
          <w:sz w:val="32"/>
          <w:lang w:val="en-US" w:eastAsia="zh-CN"/>
        </w:rPr>
        <w:t>2023</w:t>
      </w:r>
      <w:r>
        <w:rPr>
          <w:rFonts w:ascii="Times New Roman" w:hAnsi="Times New Roman" w:eastAsia="仿宋_GB2312" w:cs="Times New Roman"/>
          <w:sz w:val="32"/>
        </w:rPr>
        <w:t>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pPr>
        <w:pStyle w:val="7"/>
        <w:rPr>
          <w:rFonts w:cs="Times New Roman"/>
        </w:rPr>
      </w:pPr>
    </w:p>
    <w:p>
      <w:pPr>
        <w:pStyle w:val="7"/>
        <w:rPr>
          <w:rFonts w:cs="Times New Roman"/>
        </w:rPr>
      </w:pPr>
    </w:p>
    <w:p>
      <w:pPr>
        <w:pStyle w:val="7"/>
        <w:rPr>
          <w:rFonts w:cs="Times New Roman"/>
        </w:rPr>
      </w:pPr>
    </w:p>
    <w:p>
      <w:pPr>
        <w:pStyle w:val="7"/>
        <w:rPr>
          <w:rFonts w:cs="Times New Roman"/>
        </w:rPr>
      </w:pPr>
    </w:p>
    <w:p>
      <w:pPr>
        <w:keepNext w:val="0"/>
        <w:keepLines w:val="0"/>
        <w:pageBreakBefore w:val="0"/>
        <w:widowControl w:val="0"/>
        <w:kinsoku/>
        <w:wordWrap/>
        <w:overflowPunct/>
        <w:topLinePunct w:val="0"/>
        <w:autoSpaceDE/>
        <w:autoSpaceDN/>
        <w:bidi w:val="0"/>
        <w:adjustRightInd/>
        <w:snapToGrid/>
        <w:spacing w:line="160" w:lineRule="exact"/>
        <w:ind w:right="91"/>
        <w:textAlignment w:val="auto"/>
        <w:rPr>
          <w:rFonts w:hint="eastAsia" w:ascii="Times New Roman" w:hAnsi="Times New Roman" w:eastAsia="仿宋_GB2312" w:cs="Times New Roman"/>
          <w:spacing w:val="7"/>
          <w:sz w:val="32"/>
          <w:szCs w:val="32"/>
          <w:highlight w:val="none"/>
          <w:lang w:val="en-US" w:eastAsia="zh-CN"/>
        </w:rPr>
      </w:pPr>
    </w:p>
    <w:p>
      <w:pPr>
        <w:snapToGrid w:val="0"/>
        <w:spacing w:after="156" w:afterLines="50"/>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广州期货交易所</w:t>
      </w:r>
      <w:r>
        <w:rPr>
          <w:rFonts w:hint="eastAsia" w:ascii="方正小标宋简体" w:hAnsi="方正小标宋简体" w:eastAsia="方正小标宋简体" w:cs="方正小标宋简体"/>
          <w:b w:val="0"/>
          <w:bCs/>
          <w:sz w:val="36"/>
          <w:szCs w:val="36"/>
        </w:rPr>
        <w:t>交割仓库资格申请表</w:t>
      </w:r>
    </w:p>
    <w:tbl>
      <w:tblPr>
        <w:tblStyle w:val="4"/>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69"/>
        <w:gridCol w:w="1276"/>
        <w:gridCol w:w="1105"/>
        <w:gridCol w:w="681"/>
        <w:gridCol w:w="57"/>
        <w:gridCol w:w="992"/>
        <w:gridCol w:w="283"/>
        <w:gridCol w:w="650"/>
        <w:gridCol w:w="59"/>
        <w:gridCol w:w="1134"/>
        <w:gridCol w:w="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951" w:type="dxa"/>
            <w:gridSpan w:val="2"/>
            <w:noWrap w:val="0"/>
            <w:vAlign w:val="center"/>
          </w:tcPr>
          <w:p>
            <w:pPr>
              <w:jc w:val="center"/>
              <w:rPr>
                <w:rFonts w:ascii="仿宋" w:hAnsi="仿宋" w:eastAsia="仿宋"/>
                <w:sz w:val="24"/>
              </w:rPr>
            </w:pPr>
            <w:r>
              <w:rPr>
                <w:rFonts w:hint="eastAsia" w:ascii="仿宋" w:hAnsi="仿宋" w:eastAsia="仿宋_GB2312" w:cs="宋体"/>
                <w:sz w:val="24"/>
              </w:rPr>
              <w:t>申请单位名称</w:t>
            </w:r>
          </w:p>
        </w:tc>
        <w:tc>
          <w:tcPr>
            <w:tcW w:w="6724" w:type="dxa"/>
            <w:gridSpan w:val="10"/>
            <w:noWrap w:val="0"/>
            <w:vAlign w:val="center"/>
          </w:tcPr>
          <w:p>
            <w:pPr>
              <w:tabs>
                <w:tab w:val="left" w:pos="1500"/>
                <w:tab w:val="left" w:pos="3255"/>
                <w:tab w:val="left" w:pos="6135"/>
              </w:tabs>
              <w:spacing w:line="200" w:lineRule="exact"/>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exact"/>
        </w:trPr>
        <w:tc>
          <w:tcPr>
            <w:tcW w:w="1951" w:type="dxa"/>
            <w:gridSpan w:val="2"/>
            <w:noWrap w:val="0"/>
            <w:vAlign w:val="center"/>
          </w:tcPr>
          <w:p>
            <w:pPr>
              <w:ind w:firstLine="120" w:firstLineChars="50"/>
              <w:jc w:val="center"/>
              <w:rPr>
                <w:rFonts w:ascii="仿宋" w:hAnsi="仿宋" w:eastAsia="仿宋" w:cs="宋体"/>
                <w:sz w:val="24"/>
              </w:rPr>
            </w:pPr>
            <w:r>
              <w:rPr>
                <w:rFonts w:ascii="仿宋" w:hAnsi="仿宋" w:eastAsia="仿宋_GB2312" w:cs="宋体"/>
                <w:sz w:val="24"/>
              </w:rPr>
              <w:t>登记注册类型</w:t>
            </w:r>
          </w:p>
        </w:tc>
        <w:tc>
          <w:tcPr>
            <w:tcW w:w="6724" w:type="dxa"/>
            <w:gridSpan w:val="10"/>
            <w:noWrap w:val="0"/>
            <w:vAlign w:val="center"/>
          </w:tcPr>
          <w:p>
            <w:pPr>
              <w:tabs>
                <w:tab w:val="left" w:pos="1500"/>
                <w:tab w:val="left" w:pos="3255"/>
                <w:tab w:val="left" w:pos="550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□国有  □有限责任公司   □与港澳台商合资经营 □中外合资经营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□集体  □股份有限公司   □与港澳台商合作经   □中外合作经营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□股份合作   □私营企业  □港澳台商独资       □外资企业</w:t>
            </w:r>
          </w:p>
          <w:p>
            <w:pPr>
              <w:tabs>
                <w:tab w:val="left" w:pos="6135"/>
              </w:tabs>
              <w:spacing w:line="200" w:lineRule="exact"/>
              <w:jc w:val="left"/>
              <w:rPr>
                <w:rFonts w:ascii="仿宋" w:hAnsi="仿宋" w:eastAsia="仿宋"/>
                <w:sz w:val="24"/>
              </w:rPr>
            </w:pPr>
            <w:r>
              <w:rPr>
                <w:rFonts w:hint="eastAsia" w:ascii="仿宋_GB2312" w:hAnsi="仿宋_GB2312" w:eastAsia="仿宋_GB2312" w:cs="仿宋_GB2312"/>
                <w:sz w:val="18"/>
                <w:szCs w:val="18"/>
              </w:rPr>
              <w:t>□联营企业   其他企业：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951" w:type="dxa"/>
            <w:gridSpan w:val="2"/>
            <w:noWrap w:val="0"/>
            <w:vAlign w:val="center"/>
          </w:tcPr>
          <w:p>
            <w:pPr>
              <w:jc w:val="center"/>
              <w:rPr>
                <w:rFonts w:ascii="仿宋" w:hAnsi="仿宋" w:eastAsia="仿宋"/>
                <w:sz w:val="24"/>
              </w:rPr>
            </w:pPr>
            <w:r>
              <w:rPr>
                <w:rFonts w:hint="eastAsia" w:ascii="仿宋" w:hAnsi="仿宋" w:eastAsia="仿宋_GB2312" w:cs="宋体"/>
                <w:sz w:val="24"/>
              </w:rPr>
              <w:t>法定代表人</w:t>
            </w:r>
          </w:p>
        </w:tc>
        <w:tc>
          <w:tcPr>
            <w:tcW w:w="2381" w:type="dxa"/>
            <w:gridSpan w:val="2"/>
            <w:noWrap w:val="0"/>
            <w:vAlign w:val="center"/>
          </w:tcPr>
          <w:p>
            <w:pPr>
              <w:jc w:val="center"/>
              <w:rPr>
                <w:rFonts w:ascii="仿宋" w:hAnsi="仿宋" w:eastAsia="仿宋"/>
                <w:sz w:val="24"/>
              </w:rPr>
            </w:pPr>
          </w:p>
        </w:tc>
        <w:tc>
          <w:tcPr>
            <w:tcW w:w="2013" w:type="dxa"/>
            <w:gridSpan w:val="4"/>
            <w:noWrap w:val="0"/>
            <w:vAlign w:val="center"/>
          </w:tcPr>
          <w:p>
            <w:pPr>
              <w:jc w:val="center"/>
              <w:rPr>
                <w:rFonts w:ascii="仿宋" w:hAnsi="仿宋" w:eastAsia="仿宋"/>
                <w:sz w:val="24"/>
              </w:rPr>
            </w:pPr>
            <w:r>
              <w:rPr>
                <w:rFonts w:hint="eastAsia" w:ascii="仿宋" w:hAnsi="仿宋" w:eastAsia="仿宋_GB2312" w:cs="仿宋_GB2312"/>
                <w:sz w:val="24"/>
              </w:rPr>
              <w:t>办公电话或手机</w:t>
            </w:r>
          </w:p>
        </w:tc>
        <w:tc>
          <w:tcPr>
            <w:tcW w:w="2330" w:type="dxa"/>
            <w:gridSpan w:val="4"/>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restart"/>
            <w:noWrap w:val="0"/>
            <w:vAlign w:val="center"/>
          </w:tcPr>
          <w:p>
            <w:pPr>
              <w:spacing w:before="100" w:beforeAutospacing="1"/>
              <w:jc w:val="center"/>
              <w:rPr>
                <w:rFonts w:ascii="仿宋" w:hAnsi="仿宋" w:eastAsia="仿宋"/>
                <w:sz w:val="24"/>
              </w:rPr>
            </w:pPr>
            <w:r>
              <w:rPr>
                <w:rFonts w:hint="eastAsia" w:ascii="仿宋" w:hAnsi="仿宋" w:eastAsia="仿宋_GB2312" w:cs="黑体"/>
                <w:sz w:val="24"/>
              </w:rPr>
              <w:t>联系方式</w:t>
            </w: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部门</w:t>
            </w:r>
          </w:p>
        </w:tc>
        <w:tc>
          <w:tcPr>
            <w:tcW w:w="2381" w:type="dxa"/>
            <w:gridSpan w:val="2"/>
            <w:noWrap w:val="0"/>
            <w:vAlign w:val="center"/>
          </w:tcPr>
          <w:p>
            <w:pPr>
              <w:spacing w:before="100" w:beforeAutospacing="1"/>
              <w:jc w:val="center"/>
              <w:rPr>
                <w:rFonts w:ascii="仿宋" w:hAnsi="仿宋" w:eastAsia="仿宋"/>
                <w:sz w:val="24"/>
              </w:rPr>
            </w:pPr>
          </w:p>
        </w:tc>
        <w:tc>
          <w:tcPr>
            <w:tcW w:w="2013" w:type="dxa"/>
            <w:gridSpan w:val="4"/>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联系人</w:t>
            </w:r>
          </w:p>
        </w:tc>
        <w:tc>
          <w:tcPr>
            <w:tcW w:w="2330" w:type="dxa"/>
            <w:gridSpan w:val="4"/>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电话</w:t>
            </w:r>
          </w:p>
        </w:tc>
        <w:tc>
          <w:tcPr>
            <w:tcW w:w="2381" w:type="dxa"/>
            <w:gridSpan w:val="2"/>
            <w:noWrap w:val="0"/>
            <w:vAlign w:val="center"/>
          </w:tcPr>
          <w:p>
            <w:pPr>
              <w:spacing w:before="100" w:beforeAutospacing="1"/>
              <w:jc w:val="center"/>
              <w:rPr>
                <w:rFonts w:ascii="仿宋" w:hAnsi="仿宋" w:eastAsia="仿宋"/>
                <w:sz w:val="24"/>
              </w:rPr>
            </w:pPr>
          </w:p>
        </w:tc>
        <w:tc>
          <w:tcPr>
            <w:tcW w:w="2013" w:type="dxa"/>
            <w:gridSpan w:val="4"/>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传真</w:t>
            </w:r>
          </w:p>
        </w:tc>
        <w:tc>
          <w:tcPr>
            <w:tcW w:w="2330" w:type="dxa"/>
            <w:gridSpan w:val="4"/>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邮编</w:t>
            </w:r>
          </w:p>
        </w:tc>
        <w:tc>
          <w:tcPr>
            <w:tcW w:w="2381" w:type="dxa"/>
            <w:gridSpan w:val="2"/>
            <w:noWrap w:val="0"/>
            <w:vAlign w:val="center"/>
          </w:tcPr>
          <w:p>
            <w:pPr>
              <w:spacing w:before="100" w:beforeAutospacing="1"/>
              <w:jc w:val="center"/>
              <w:rPr>
                <w:rFonts w:ascii="仿宋" w:hAnsi="仿宋" w:eastAsia="仿宋"/>
                <w:sz w:val="24"/>
              </w:rPr>
            </w:pPr>
          </w:p>
        </w:tc>
        <w:tc>
          <w:tcPr>
            <w:tcW w:w="2013" w:type="dxa"/>
            <w:gridSpan w:val="4"/>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电子邮件</w:t>
            </w:r>
          </w:p>
        </w:tc>
        <w:tc>
          <w:tcPr>
            <w:tcW w:w="2330" w:type="dxa"/>
            <w:gridSpan w:val="4"/>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noWrap w:val="0"/>
            <w:vAlign w:val="center"/>
          </w:tcPr>
          <w:p>
            <w:pPr>
              <w:spacing w:before="100" w:beforeAutospacing="1"/>
              <w:jc w:val="center"/>
              <w:rPr>
                <w:rFonts w:hint="eastAsia" w:ascii="仿宋" w:hAnsi="仿宋" w:eastAsia="仿宋"/>
                <w:sz w:val="24"/>
              </w:rPr>
            </w:pPr>
            <w:r>
              <w:rPr>
                <w:rFonts w:hint="eastAsia" w:ascii="仿宋" w:hAnsi="仿宋" w:eastAsia="仿宋_GB2312" w:cs="仿宋_GB2312"/>
                <w:sz w:val="24"/>
              </w:rPr>
              <w:t>联系</w:t>
            </w:r>
            <w:r>
              <w:rPr>
                <w:rFonts w:ascii="仿宋" w:hAnsi="仿宋" w:eastAsia="仿宋_GB2312" w:cs="仿宋_GB2312"/>
                <w:sz w:val="24"/>
              </w:rPr>
              <w:t>地址</w:t>
            </w:r>
          </w:p>
        </w:tc>
        <w:tc>
          <w:tcPr>
            <w:tcW w:w="6724" w:type="dxa"/>
            <w:gridSpan w:val="10"/>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682" w:type="dxa"/>
            <w:vMerge w:val="restart"/>
            <w:noWrap w:val="0"/>
            <w:vAlign w:val="center"/>
          </w:tcPr>
          <w:p>
            <w:pPr>
              <w:spacing w:before="100" w:beforeAutospacing="1"/>
              <w:jc w:val="center"/>
              <w:rPr>
                <w:rFonts w:ascii="仿宋" w:hAnsi="仿宋" w:eastAsia="仿宋_GB2312"/>
                <w:sz w:val="24"/>
              </w:rPr>
            </w:pPr>
            <w:r>
              <w:rPr>
                <w:rFonts w:hint="eastAsia" w:ascii="仿宋" w:hAnsi="仿宋" w:eastAsia="仿宋_GB2312" w:cs="黑体"/>
                <w:sz w:val="24"/>
              </w:rPr>
              <w:t>库</w:t>
            </w:r>
          </w:p>
          <w:p>
            <w:pPr>
              <w:spacing w:before="100" w:beforeAutospacing="1"/>
              <w:jc w:val="center"/>
              <w:rPr>
                <w:rFonts w:ascii="仿宋" w:hAnsi="仿宋" w:eastAsia="仿宋"/>
                <w:sz w:val="24"/>
              </w:rPr>
            </w:pPr>
            <w:r>
              <w:rPr>
                <w:rFonts w:hint="eastAsia" w:ascii="仿宋" w:hAnsi="仿宋" w:eastAsia="仿宋_GB2312" w:cs="黑体"/>
                <w:sz w:val="24"/>
              </w:rPr>
              <w:t>容</w:t>
            </w:r>
          </w:p>
        </w:tc>
        <w:tc>
          <w:tcPr>
            <w:tcW w:w="1269" w:type="dxa"/>
            <w:noWrap w:val="0"/>
            <w:vAlign w:val="center"/>
          </w:tcPr>
          <w:p>
            <w:pPr>
              <w:spacing w:before="100" w:beforeAutospacing="1"/>
              <w:jc w:val="center"/>
              <w:rPr>
                <w:rFonts w:hint="eastAsia" w:ascii="仿宋" w:hAnsi="仿宋" w:eastAsia="仿宋" w:cs="仿宋_GB2312"/>
                <w:sz w:val="24"/>
              </w:rPr>
            </w:pPr>
            <w:r>
              <w:rPr>
                <w:rFonts w:hint="eastAsia" w:ascii="仿宋" w:hAnsi="仿宋" w:eastAsia="仿宋_GB2312" w:cs="仿宋_GB2312"/>
                <w:sz w:val="24"/>
              </w:rPr>
              <w:t>总库容</w:t>
            </w:r>
          </w:p>
        </w:tc>
        <w:tc>
          <w:tcPr>
            <w:tcW w:w="2381" w:type="dxa"/>
            <w:gridSpan w:val="2"/>
            <w:noWrap w:val="0"/>
            <w:vAlign w:val="center"/>
          </w:tcPr>
          <w:p>
            <w:pPr>
              <w:spacing w:before="100" w:beforeAutospacing="1"/>
              <w:jc w:val="center"/>
              <w:rPr>
                <w:rFonts w:hint="eastAsia" w:ascii="仿宋" w:hAnsi="仿宋" w:eastAsia="仿宋"/>
                <w:sz w:val="24"/>
              </w:rPr>
            </w:pPr>
            <w:r>
              <w:rPr>
                <w:rFonts w:hint="eastAsia" w:ascii="仿宋" w:hAnsi="仿宋" w:eastAsia="仿宋_GB2312"/>
                <w:sz w:val="24"/>
              </w:rPr>
              <w:t>万吨</w:t>
            </w:r>
          </w:p>
        </w:tc>
        <w:tc>
          <w:tcPr>
            <w:tcW w:w="1730" w:type="dxa"/>
            <w:gridSpan w:val="3"/>
            <w:noWrap w:val="0"/>
            <w:vAlign w:val="center"/>
          </w:tcPr>
          <w:p>
            <w:pPr>
              <w:jc w:val="center"/>
              <w:rPr>
                <w:rFonts w:hint="eastAsia" w:ascii="仿宋" w:hAnsi="仿宋" w:eastAsia="仿宋" w:cs="仿宋_GB2312"/>
                <w:sz w:val="24"/>
              </w:rPr>
            </w:pPr>
            <w:r>
              <w:rPr>
                <w:rFonts w:hint="eastAsia" w:ascii="仿宋" w:hAnsi="仿宋" w:eastAsia="仿宋_GB2312" w:cs="仿宋_GB2312"/>
                <w:sz w:val="24"/>
                <w:lang w:val="en-US" w:eastAsia="zh-CN"/>
              </w:rPr>
              <w:t>总</w:t>
            </w:r>
            <w:r>
              <w:rPr>
                <w:rFonts w:hint="eastAsia" w:ascii="仿宋" w:hAnsi="仿宋" w:eastAsia="仿宋_GB2312" w:cs="仿宋_GB2312"/>
                <w:sz w:val="24"/>
              </w:rPr>
              <w:t>库房</w:t>
            </w:r>
          </w:p>
        </w:tc>
        <w:tc>
          <w:tcPr>
            <w:tcW w:w="2613" w:type="dxa"/>
            <w:gridSpan w:val="5"/>
            <w:noWrap w:val="0"/>
            <w:vAlign w:val="center"/>
          </w:tcPr>
          <w:p>
            <w:pPr>
              <w:spacing w:before="100" w:beforeAutospacing="1"/>
              <w:jc w:val="center"/>
              <w:rPr>
                <w:rFonts w:hint="default" w:ascii="仿宋" w:hAnsi="仿宋" w:eastAsia="仿宋"/>
                <w:sz w:val="24"/>
                <w:lang w:val="en-US" w:eastAsia="zh-CN"/>
              </w:rPr>
            </w:pPr>
            <w:r>
              <w:rPr>
                <w:rFonts w:hint="eastAsia" w:ascii="仿宋" w:hAnsi="仿宋" w:eastAsia="仿宋"/>
                <w:sz w:val="24"/>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申请</w:t>
            </w:r>
            <w:r>
              <w:rPr>
                <w:rFonts w:hint="eastAsia" w:ascii="仿宋" w:hAnsi="仿宋" w:eastAsia="仿宋_GB2312" w:cs="仿宋_GB2312"/>
                <w:sz w:val="24"/>
                <w:lang w:val="en-US" w:eastAsia="zh-CN"/>
              </w:rPr>
              <w:t>最低保障</w:t>
            </w:r>
            <w:r>
              <w:rPr>
                <w:rFonts w:hint="eastAsia" w:ascii="仿宋" w:hAnsi="仿宋" w:eastAsia="仿宋_GB2312" w:cs="仿宋_GB2312"/>
                <w:sz w:val="24"/>
              </w:rPr>
              <w:t>库容</w:t>
            </w:r>
          </w:p>
        </w:tc>
        <w:tc>
          <w:tcPr>
            <w:tcW w:w="2381" w:type="dxa"/>
            <w:gridSpan w:val="2"/>
            <w:noWrap w:val="0"/>
            <w:vAlign w:val="center"/>
          </w:tcPr>
          <w:p>
            <w:pPr>
              <w:spacing w:before="100" w:beforeAutospacing="1"/>
              <w:jc w:val="center"/>
              <w:rPr>
                <w:rFonts w:ascii="仿宋" w:hAnsi="仿宋" w:eastAsia="仿宋"/>
                <w:sz w:val="24"/>
              </w:rPr>
            </w:pPr>
            <w:r>
              <w:rPr>
                <w:rFonts w:hint="eastAsia" w:ascii="仿宋" w:hAnsi="仿宋" w:eastAsia="仿宋_GB2312"/>
                <w:sz w:val="24"/>
              </w:rPr>
              <w:t>万吨</w:t>
            </w:r>
          </w:p>
        </w:tc>
        <w:tc>
          <w:tcPr>
            <w:tcW w:w="1730" w:type="dxa"/>
            <w:gridSpan w:val="3"/>
            <w:noWrap w:val="0"/>
            <w:vAlign w:val="center"/>
          </w:tcPr>
          <w:p>
            <w:pPr>
              <w:jc w:val="center"/>
              <w:rPr>
                <w:rFonts w:hint="default" w:ascii="仿宋" w:hAnsi="仿宋" w:eastAsia="仿宋_GB2312"/>
                <w:sz w:val="24"/>
                <w:lang w:val="en-US" w:eastAsia="zh-CN"/>
              </w:rPr>
            </w:pPr>
            <w:r>
              <w:rPr>
                <w:rFonts w:hint="eastAsia" w:ascii="仿宋" w:hAnsi="仿宋" w:eastAsia="仿宋_GB2312"/>
                <w:sz w:val="24"/>
                <w:lang w:val="en-US" w:eastAsia="zh-CN"/>
              </w:rPr>
              <w:t>期货</w:t>
            </w:r>
          </w:p>
          <w:p>
            <w:pPr>
              <w:jc w:val="center"/>
              <w:rPr>
                <w:rFonts w:hint="eastAsia" w:ascii="仿宋" w:hAnsi="仿宋" w:eastAsia="仿宋" w:cs="仿宋_GB2312"/>
                <w:sz w:val="24"/>
              </w:rPr>
            </w:pPr>
            <w:r>
              <w:rPr>
                <w:rFonts w:hint="eastAsia" w:ascii="仿宋" w:hAnsi="仿宋" w:eastAsia="仿宋_GB2312"/>
                <w:sz w:val="24"/>
              </w:rPr>
              <w:t>库房</w:t>
            </w:r>
            <w:r>
              <w:rPr>
                <w:rFonts w:hint="eastAsia" w:ascii="仿宋" w:hAnsi="仿宋" w:eastAsia="仿宋_GB2312"/>
                <w:sz w:val="24"/>
                <w:lang w:val="en-US" w:eastAsia="zh-CN"/>
              </w:rPr>
              <w:t>面积</w:t>
            </w:r>
          </w:p>
        </w:tc>
        <w:tc>
          <w:tcPr>
            <w:tcW w:w="2613" w:type="dxa"/>
            <w:gridSpan w:val="5"/>
            <w:noWrap w:val="0"/>
            <w:vAlign w:val="center"/>
          </w:tcPr>
          <w:p>
            <w:pPr>
              <w:spacing w:before="100" w:beforeAutospacing="1"/>
              <w:jc w:val="center"/>
              <w:rPr>
                <w:rFonts w:ascii="仿宋" w:hAnsi="仿宋" w:eastAsia="仿宋"/>
                <w:sz w:val="24"/>
              </w:rPr>
            </w:pPr>
            <w:r>
              <w:rPr>
                <w:rFonts w:hint="eastAsia" w:ascii="仿宋" w:hAnsi="仿宋" w:eastAsia="仿宋_GB2312"/>
                <w:sz w:val="24"/>
                <w:lang w:val="en-US" w:eastAsia="zh-CN"/>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restart"/>
            <w:noWrap w:val="0"/>
            <w:vAlign w:val="center"/>
          </w:tcPr>
          <w:p>
            <w:pPr>
              <w:spacing w:before="100" w:beforeAutospacing="1"/>
              <w:jc w:val="center"/>
              <w:rPr>
                <w:rFonts w:ascii="仿宋" w:hAnsi="仿宋" w:eastAsia="仿宋_GB2312"/>
                <w:sz w:val="24"/>
              </w:rPr>
            </w:pPr>
            <w:r>
              <w:rPr>
                <w:rFonts w:hint="eastAsia" w:ascii="仿宋" w:hAnsi="仿宋" w:eastAsia="仿宋_GB2312" w:cs="黑体"/>
                <w:sz w:val="24"/>
              </w:rPr>
              <w:t>运</w:t>
            </w:r>
          </w:p>
          <w:p>
            <w:pPr>
              <w:spacing w:before="100" w:beforeAutospacing="1"/>
              <w:jc w:val="center"/>
              <w:rPr>
                <w:rFonts w:ascii="仿宋" w:hAnsi="仿宋" w:eastAsia="仿宋_GB2312"/>
                <w:sz w:val="24"/>
              </w:rPr>
            </w:pPr>
          </w:p>
          <w:p>
            <w:pPr>
              <w:spacing w:before="100" w:beforeAutospacing="1"/>
              <w:jc w:val="center"/>
              <w:rPr>
                <w:rFonts w:ascii="仿宋" w:hAnsi="仿宋" w:eastAsia="仿宋_GB2312"/>
                <w:sz w:val="24"/>
              </w:rPr>
            </w:pPr>
          </w:p>
          <w:p>
            <w:pPr>
              <w:spacing w:before="100" w:beforeAutospacing="1"/>
              <w:jc w:val="center"/>
              <w:rPr>
                <w:rFonts w:ascii="仿宋" w:hAnsi="仿宋" w:eastAsia="仿宋"/>
                <w:sz w:val="24"/>
              </w:rPr>
            </w:pPr>
            <w:r>
              <w:rPr>
                <w:rFonts w:hint="eastAsia" w:ascii="仿宋" w:hAnsi="仿宋" w:eastAsia="仿宋_GB2312" w:cs="黑体"/>
                <w:sz w:val="24"/>
              </w:rPr>
              <w:t>输</w:t>
            </w:r>
          </w:p>
        </w:tc>
        <w:tc>
          <w:tcPr>
            <w:tcW w:w="1269" w:type="dxa"/>
            <w:vMerge w:val="restart"/>
            <w:noWrap w:val="0"/>
            <w:vAlign w:val="center"/>
          </w:tcPr>
          <w:p>
            <w:pPr>
              <w:widowControl/>
              <w:jc w:val="center"/>
              <w:rPr>
                <w:rFonts w:ascii="仿宋" w:hAnsi="仿宋" w:eastAsia="仿宋"/>
                <w:sz w:val="24"/>
              </w:rPr>
            </w:pPr>
            <w:r>
              <w:rPr>
                <w:rFonts w:hint="eastAsia" w:ascii="仿宋" w:hAnsi="仿宋" w:eastAsia="仿宋_GB2312" w:cs="仿宋_GB2312"/>
                <w:sz w:val="24"/>
              </w:rPr>
              <w:t>公路</w:t>
            </w: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附近主要高速公路</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widowControl/>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附近主要普通公路</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widowControl/>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仓库距高速口距离</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widowControl/>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仓库距国省道距离</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restart"/>
            <w:noWrap w:val="0"/>
            <w:vAlign w:val="center"/>
          </w:tcPr>
          <w:p>
            <w:pPr>
              <w:widowControl/>
              <w:jc w:val="center"/>
              <w:rPr>
                <w:rFonts w:ascii="仿宋" w:hAnsi="仿宋" w:eastAsia="仿宋"/>
                <w:sz w:val="24"/>
              </w:rPr>
            </w:pPr>
            <w:r>
              <w:rPr>
                <w:rFonts w:hint="eastAsia" w:ascii="仿宋" w:hAnsi="仿宋" w:eastAsia="仿宋_GB2312" w:cs="仿宋_GB2312"/>
                <w:sz w:val="24"/>
              </w:rPr>
              <w:t>铁路</w:t>
            </w: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专用线名称</w:t>
            </w:r>
          </w:p>
        </w:tc>
        <w:tc>
          <w:tcPr>
            <w:tcW w:w="4343" w:type="dxa"/>
            <w:gridSpan w:val="8"/>
            <w:noWrap w:val="0"/>
            <w:vAlign w:val="center"/>
          </w:tcPr>
          <w:p>
            <w:pPr>
              <w:spacing w:before="100" w:beforeAutospacing="1"/>
              <w:jc w:val="center"/>
              <w:rPr>
                <w:rFonts w:hint="eastAsia" w:ascii="仿宋" w:hAnsi="仿宋" w:eastAsia="仿宋"/>
                <w:sz w:val="24"/>
              </w:rPr>
            </w:pPr>
            <w:r>
              <w:rPr>
                <w:rFonts w:hint="eastAsia" w:ascii="仿宋" w:hAnsi="仿宋" w:eastAsia="仿宋_GB2312"/>
                <w:sz w:val="24"/>
              </w:rPr>
              <w:t>若</w:t>
            </w:r>
            <w:r>
              <w:rPr>
                <w:rFonts w:ascii="仿宋" w:hAnsi="仿宋" w:eastAsia="仿宋_GB2312"/>
                <w:sz w:val="24"/>
              </w:rPr>
              <w:t>租赁，请标明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铁路到站</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专用线长度</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仓库距专用线距离</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restart"/>
            <w:noWrap w:val="0"/>
            <w:vAlign w:val="center"/>
          </w:tcPr>
          <w:p>
            <w:pPr>
              <w:spacing w:line="360" w:lineRule="exact"/>
              <w:jc w:val="center"/>
              <w:rPr>
                <w:rFonts w:ascii="仿宋" w:hAnsi="仿宋" w:eastAsia="仿宋"/>
                <w:sz w:val="24"/>
              </w:rPr>
            </w:pPr>
            <w:r>
              <w:rPr>
                <w:rFonts w:hint="eastAsia" w:ascii="仿宋" w:hAnsi="仿宋" w:eastAsia="仿宋_GB2312" w:cs="仿宋_GB2312"/>
                <w:sz w:val="24"/>
              </w:rPr>
              <w:t>码头</w:t>
            </w: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仓库最近码头名称</w:t>
            </w:r>
          </w:p>
        </w:tc>
        <w:tc>
          <w:tcPr>
            <w:tcW w:w="2663" w:type="dxa"/>
            <w:gridSpan w:val="5"/>
            <w:noWrap w:val="0"/>
            <w:vAlign w:val="center"/>
          </w:tcPr>
          <w:p>
            <w:pPr>
              <w:jc w:val="center"/>
              <w:rPr>
                <w:rFonts w:ascii="仿宋" w:hAnsi="仿宋" w:eastAsia="仿宋"/>
                <w:sz w:val="24"/>
              </w:rPr>
            </w:pPr>
          </w:p>
        </w:tc>
        <w:tc>
          <w:tcPr>
            <w:tcW w:w="1193" w:type="dxa"/>
            <w:gridSpan w:val="2"/>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是否自有</w:t>
            </w:r>
          </w:p>
        </w:tc>
        <w:tc>
          <w:tcPr>
            <w:tcW w:w="487" w:type="dxa"/>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line="360" w:lineRule="exact"/>
              <w:jc w:val="center"/>
              <w:rPr>
                <w:rFonts w:ascii="仿宋" w:hAnsi="仿宋" w:eastAsia="仿宋"/>
                <w:sz w:val="24"/>
              </w:rPr>
            </w:pPr>
          </w:p>
        </w:tc>
        <w:tc>
          <w:tcPr>
            <w:tcW w:w="2381" w:type="dxa"/>
            <w:gridSpan w:val="2"/>
            <w:noWrap w:val="0"/>
            <w:vAlign w:val="center"/>
          </w:tcPr>
          <w:p>
            <w:pPr>
              <w:jc w:val="center"/>
              <w:rPr>
                <w:rFonts w:ascii="仿宋" w:hAnsi="仿宋" w:eastAsia="仿宋"/>
                <w:sz w:val="24"/>
              </w:rPr>
            </w:pPr>
            <w:r>
              <w:rPr>
                <w:rFonts w:hint="eastAsia" w:ascii="仿宋" w:hAnsi="仿宋" w:eastAsia="仿宋_GB2312" w:cs="仿宋_GB2312"/>
                <w:sz w:val="24"/>
              </w:rPr>
              <w:t>仓库距码头距离</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line="360" w:lineRule="exact"/>
              <w:jc w:val="center"/>
              <w:rPr>
                <w:rFonts w:ascii="仿宋" w:hAnsi="仿宋" w:eastAsia="仿宋"/>
                <w:sz w:val="24"/>
              </w:rPr>
            </w:pPr>
          </w:p>
        </w:tc>
        <w:tc>
          <w:tcPr>
            <w:tcW w:w="2381" w:type="dxa"/>
            <w:gridSpan w:val="2"/>
            <w:noWrap w:val="0"/>
            <w:vAlign w:val="center"/>
          </w:tcPr>
          <w:p>
            <w:pPr>
              <w:spacing w:line="360" w:lineRule="exact"/>
              <w:jc w:val="center"/>
              <w:rPr>
                <w:rFonts w:ascii="仿宋" w:hAnsi="仿宋" w:eastAsia="仿宋"/>
                <w:sz w:val="24"/>
              </w:rPr>
            </w:pPr>
            <w:r>
              <w:rPr>
                <w:rFonts w:hint="eastAsia" w:ascii="仿宋" w:hAnsi="仿宋" w:eastAsia="仿宋_GB2312" w:cs="仿宋_GB2312"/>
                <w:sz w:val="24"/>
              </w:rPr>
              <w:t>最大可泊船吨位</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line="360" w:lineRule="exact"/>
              <w:jc w:val="center"/>
              <w:rPr>
                <w:rFonts w:ascii="仿宋" w:hAnsi="仿宋" w:eastAsia="仿宋"/>
                <w:sz w:val="24"/>
              </w:rPr>
            </w:pPr>
          </w:p>
        </w:tc>
        <w:tc>
          <w:tcPr>
            <w:tcW w:w="2381" w:type="dxa"/>
            <w:gridSpan w:val="2"/>
            <w:noWrap w:val="0"/>
            <w:vAlign w:val="center"/>
          </w:tcPr>
          <w:p>
            <w:pPr>
              <w:spacing w:line="360" w:lineRule="exact"/>
              <w:jc w:val="center"/>
              <w:rPr>
                <w:rFonts w:ascii="仿宋" w:hAnsi="仿宋" w:eastAsia="仿宋"/>
                <w:sz w:val="24"/>
              </w:rPr>
            </w:pPr>
            <w:r>
              <w:rPr>
                <w:rFonts w:hint="eastAsia" w:ascii="仿宋" w:hAnsi="仿宋" w:eastAsia="仿宋_GB2312" w:cs="仿宋_GB2312"/>
                <w:sz w:val="24"/>
              </w:rPr>
              <w:t>码头日吞吐量</w:t>
            </w:r>
          </w:p>
        </w:tc>
        <w:tc>
          <w:tcPr>
            <w:tcW w:w="4343" w:type="dxa"/>
            <w:gridSpan w:val="8"/>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restart"/>
            <w:noWrap w:val="0"/>
            <w:vAlign w:val="center"/>
          </w:tcPr>
          <w:p>
            <w:pPr>
              <w:spacing w:before="100" w:beforeAutospacing="1" w:line="240" w:lineRule="auto"/>
              <w:jc w:val="center"/>
              <w:rPr>
                <w:rFonts w:ascii="仿宋" w:hAnsi="仿宋" w:eastAsia="仿宋"/>
                <w:sz w:val="24"/>
              </w:rPr>
            </w:pPr>
            <w:r>
              <w:rPr>
                <w:rFonts w:hint="eastAsia" w:ascii="仿宋" w:hAnsi="仿宋" w:eastAsia="仿宋_GB2312" w:cs="黑体"/>
                <w:sz w:val="24"/>
              </w:rPr>
              <w:t>申请单位股东情况</w:t>
            </w:r>
          </w:p>
        </w:tc>
        <w:tc>
          <w:tcPr>
            <w:tcW w:w="1269" w:type="dxa"/>
            <w:vMerge w:val="restart"/>
            <w:noWrap w:val="0"/>
            <w:vAlign w:val="center"/>
          </w:tcPr>
          <w:p>
            <w:pPr>
              <w:spacing w:before="100" w:beforeAutospacing="1" w:line="240" w:lineRule="auto"/>
              <w:jc w:val="center"/>
              <w:rPr>
                <w:rFonts w:ascii="仿宋" w:hAnsi="仿宋" w:eastAsia="仿宋"/>
                <w:sz w:val="24"/>
              </w:rPr>
            </w:pPr>
            <w:r>
              <w:rPr>
                <w:rFonts w:hint="eastAsia" w:ascii="仿宋" w:hAnsi="仿宋" w:eastAsia="仿宋_GB2312" w:cs="仿宋_GB2312"/>
                <w:sz w:val="24"/>
              </w:rPr>
              <w:t>第一大股东</w:t>
            </w:r>
          </w:p>
        </w:tc>
        <w:tc>
          <w:tcPr>
            <w:tcW w:w="1276"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名称</w:t>
            </w:r>
          </w:p>
        </w:tc>
        <w:tc>
          <w:tcPr>
            <w:tcW w:w="5448" w:type="dxa"/>
            <w:gridSpan w:val="9"/>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exact"/>
        </w:trPr>
        <w:tc>
          <w:tcPr>
            <w:tcW w:w="682" w:type="dxa"/>
            <w:vMerge w:val="continue"/>
            <w:noWrap w:val="0"/>
            <w:vAlign w:val="center"/>
          </w:tcPr>
          <w:p>
            <w:pPr>
              <w:spacing w:before="100" w:beforeAutospacing="1" w:line="240" w:lineRule="auto"/>
              <w:jc w:val="center"/>
              <w:rPr>
                <w:rFonts w:ascii="仿宋" w:hAnsi="仿宋" w:eastAsia="仿宋" w:cs="黑体"/>
                <w:sz w:val="24"/>
              </w:rPr>
            </w:pPr>
          </w:p>
        </w:tc>
        <w:tc>
          <w:tcPr>
            <w:tcW w:w="1269" w:type="dxa"/>
            <w:vMerge w:val="continue"/>
            <w:noWrap w:val="0"/>
            <w:vAlign w:val="center"/>
          </w:tcPr>
          <w:p>
            <w:pPr>
              <w:spacing w:before="100" w:beforeAutospacing="1" w:line="240" w:lineRule="auto"/>
              <w:jc w:val="center"/>
              <w:rPr>
                <w:rFonts w:ascii="仿宋" w:hAnsi="仿宋" w:eastAsia="仿宋" w:cs="仿宋_GB2312"/>
                <w:sz w:val="24"/>
              </w:rPr>
            </w:pPr>
          </w:p>
        </w:tc>
        <w:tc>
          <w:tcPr>
            <w:tcW w:w="1276" w:type="dxa"/>
            <w:noWrap w:val="0"/>
            <w:vAlign w:val="center"/>
          </w:tcPr>
          <w:p>
            <w:pPr>
              <w:jc w:val="center"/>
              <w:rPr>
                <w:rFonts w:ascii="仿宋" w:hAnsi="仿宋" w:eastAsia="仿宋_GB2312" w:cs="宋体"/>
                <w:sz w:val="24"/>
              </w:rPr>
            </w:pPr>
            <w:r>
              <w:rPr>
                <w:rFonts w:ascii="仿宋" w:hAnsi="仿宋" w:eastAsia="仿宋_GB2312" w:cs="宋体"/>
                <w:sz w:val="24"/>
              </w:rPr>
              <w:t>登记注册</w:t>
            </w:r>
          </w:p>
          <w:p>
            <w:pPr>
              <w:jc w:val="center"/>
              <w:rPr>
                <w:rFonts w:ascii="仿宋" w:hAnsi="仿宋" w:eastAsia="仿宋" w:cs="仿宋_GB2312"/>
                <w:sz w:val="24"/>
              </w:rPr>
            </w:pPr>
            <w:r>
              <w:rPr>
                <w:rFonts w:ascii="仿宋" w:hAnsi="仿宋" w:eastAsia="仿宋_GB2312" w:cs="宋体"/>
                <w:sz w:val="24"/>
              </w:rPr>
              <w:t>类型</w:t>
            </w:r>
          </w:p>
        </w:tc>
        <w:tc>
          <w:tcPr>
            <w:tcW w:w="5448" w:type="dxa"/>
            <w:gridSpan w:val="9"/>
            <w:noWrap w:val="0"/>
            <w:vAlign w:val="center"/>
          </w:tcPr>
          <w:p>
            <w:pPr>
              <w:tabs>
                <w:tab w:val="left" w:pos="1500"/>
                <w:tab w:val="left" w:pos="3255"/>
                <w:tab w:val="left" w:pos="550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□国有 □有限责任公司 □与港澳台商合资经营 □中外合资经营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□集体 □股份有限公司 □与港澳台商合作经   □中外合作经营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□股份合作 □私营企业 □港澳台商独资       □外资企业</w:t>
            </w:r>
          </w:p>
          <w:p>
            <w:pPr>
              <w:tabs>
                <w:tab w:val="left" w:pos="6135"/>
              </w:tabs>
              <w:spacing w:line="200" w:lineRule="exact"/>
              <w:jc w:val="left"/>
              <w:rPr>
                <w:rFonts w:ascii="宋体" w:hAnsi="宋体"/>
                <w:sz w:val="18"/>
                <w:szCs w:val="18"/>
              </w:rPr>
            </w:pPr>
            <w:r>
              <w:rPr>
                <w:rFonts w:hint="eastAsia" w:ascii="仿宋_GB2312" w:hAnsi="仿宋_GB2312" w:eastAsia="仿宋_GB2312" w:cs="仿宋_GB2312"/>
                <w:sz w:val="18"/>
                <w:szCs w:val="18"/>
              </w:rPr>
              <w:t>□联营企业 □自然人</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682" w:type="dxa"/>
            <w:vMerge w:val="continue"/>
            <w:noWrap w:val="0"/>
            <w:vAlign w:val="center"/>
          </w:tcPr>
          <w:p>
            <w:pPr>
              <w:spacing w:before="100" w:beforeAutospacing="1" w:line="240" w:lineRule="auto"/>
              <w:jc w:val="center"/>
              <w:rPr>
                <w:rFonts w:ascii="仿宋" w:hAnsi="仿宋" w:eastAsia="仿宋"/>
                <w:sz w:val="24"/>
              </w:rPr>
            </w:pPr>
          </w:p>
        </w:tc>
        <w:tc>
          <w:tcPr>
            <w:tcW w:w="1269" w:type="dxa"/>
            <w:vMerge w:val="continue"/>
            <w:noWrap w:val="0"/>
            <w:vAlign w:val="center"/>
          </w:tcPr>
          <w:p>
            <w:pPr>
              <w:spacing w:before="100" w:beforeAutospacing="1" w:line="240" w:lineRule="auto"/>
              <w:jc w:val="center"/>
              <w:rPr>
                <w:rFonts w:ascii="仿宋" w:hAnsi="仿宋" w:eastAsia="仿宋"/>
                <w:sz w:val="24"/>
              </w:rPr>
            </w:pPr>
          </w:p>
        </w:tc>
        <w:tc>
          <w:tcPr>
            <w:tcW w:w="1276" w:type="dxa"/>
            <w:noWrap w:val="0"/>
            <w:vAlign w:val="center"/>
          </w:tcPr>
          <w:p>
            <w:pPr>
              <w:spacing w:before="100" w:beforeAutospacing="1" w:line="240" w:lineRule="auto"/>
              <w:jc w:val="center"/>
              <w:rPr>
                <w:rFonts w:ascii="仿宋" w:hAnsi="仿宋" w:eastAsia="仿宋"/>
                <w:sz w:val="24"/>
              </w:rPr>
            </w:pPr>
            <w:r>
              <w:rPr>
                <w:rFonts w:hint="eastAsia" w:ascii="仿宋" w:hAnsi="仿宋" w:eastAsia="仿宋_GB2312" w:cs="仿宋_GB2312"/>
                <w:sz w:val="24"/>
              </w:rPr>
              <w:t>法定代表</w:t>
            </w:r>
          </w:p>
        </w:tc>
        <w:tc>
          <w:tcPr>
            <w:tcW w:w="1786" w:type="dxa"/>
            <w:gridSpan w:val="2"/>
            <w:noWrap w:val="0"/>
            <w:vAlign w:val="center"/>
          </w:tcPr>
          <w:p>
            <w:pPr>
              <w:spacing w:before="100" w:beforeAutospacing="1" w:line="240" w:lineRule="auto"/>
              <w:jc w:val="center"/>
              <w:rPr>
                <w:rFonts w:ascii="仿宋" w:hAnsi="仿宋" w:eastAsia="仿宋"/>
                <w:sz w:val="24"/>
              </w:rPr>
            </w:pPr>
          </w:p>
        </w:tc>
        <w:tc>
          <w:tcPr>
            <w:tcW w:w="1982" w:type="dxa"/>
            <w:gridSpan w:val="4"/>
            <w:noWrap w:val="0"/>
            <w:vAlign w:val="center"/>
          </w:tcPr>
          <w:p>
            <w:pPr>
              <w:spacing w:line="240" w:lineRule="auto"/>
              <w:ind w:firstLine="240" w:firstLineChars="100"/>
              <w:jc w:val="center"/>
              <w:rPr>
                <w:rFonts w:ascii="仿宋" w:hAnsi="仿宋" w:eastAsia="仿宋"/>
                <w:sz w:val="24"/>
              </w:rPr>
            </w:pPr>
            <w:r>
              <w:rPr>
                <w:rFonts w:hint="eastAsia" w:ascii="仿宋" w:hAnsi="仿宋" w:eastAsia="仿宋_GB2312" w:cs="仿宋_GB2312"/>
                <w:sz w:val="24"/>
              </w:rPr>
              <w:t>持股比例</w:t>
            </w:r>
          </w:p>
        </w:tc>
        <w:tc>
          <w:tcPr>
            <w:tcW w:w="1680" w:type="dxa"/>
            <w:gridSpan w:val="3"/>
            <w:noWrap w:val="0"/>
            <w:vAlign w:val="center"/>
          </w:tcPr>
          <w:p>
            <w:pPr>
              <w:spacing w:before="100" w:beforeAutospacing="1"/>
              <w:jc w:val="center"/>
              <w:rPr>
                <w:rFonts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spacing w:before="100" w:beforeAutospacing="1" w:line="240" w:lineRule="auto"/>
              <w:jc w:val="center"/>
              <w:rPr>
                <w:rFonts w:ascii="仿宋" w:hAnsi="仿宋" w:eastAsia="仿宋"/>
                <w:sz w:val="24"/>
              </w:rPr>
            </w:pPr>
          </w:p>
        </w:tc>
        <w:tc>
          <w:tcPr>
            <w:tcW w:w="1269" w:type="dxa"/>
            <w:vMerge w:val="continue"/>
            <w:noWrap w:val="0"/>
            <w:vAlign w:val="center"/>
          </w:tcPr>
          <w:p>
            <w:pPr>
              <w:spacing w:before="100" w:beforeAutospacing="1" w:line="240" w:lineRule="auto"/>
              <w:jc w:val="center"/>
              <w:rPr>
                <w:rFonts w:ascii="仿宋" w:hAnsi="仿宋" w:eastAsia="仿宋"/>
                <w:sz w:val="24"/>
              </w:rPr>
            </w:pPr>
          </w:p>
        </w:tc>
        <w:tc>
          <w:tcPr>
            <w:tcW w:w="1276"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注册资本</w:t>
            </w:r>
          </w:p>
        </w:tc>
        <w:tc>
          <w:tcPr>
            <w:tcW w:w="5448" w:type="dxa"/>
            <w:gridSpan w:val="9"/>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spacing w:before="100" w:beforeAutospacing="1" w:line="240" w:lineRule="auto"/>
              <w:jc w:val="center"/>
              <w:rPr>
                <w:rFonts w:ascii="仿宋" w:hAnsi="仿宋" w:eastAsia="仿宋"/>
                <w:sz w:val="24"/>
              </w:rPr>
            </w:pPr>
          </w:p>
        </w:tc>
        <w:tc>
          <w:tcPr>
            <w:tcW w:w="1269" w:type="dxa"/>
            <w:vMerge w:val="restart"/>
            <w:noWrap w:val="0"/>
            <w:vAlign w:val="center"/>
          </w:tcPr>
          <w:p>
            <w:pPr>
              <w:spacing w:before="100" w:beforeAutospacing="1" w:line="240" w:lineRule="auto"/>
              <w:jc w:val="center"/>
              <w:rPr>
                <w:rFonts w:ascii="仿宋" w:hAnsi="仿宋" w:eastAsia="仿宋"/>
                <w:sz w:val="24"/>
              </w:rPr>
            </w:pPr>
            <w:r>
              <w:rPr>
                <w:rFonts w:hint="eastAsia" w:ascii="仿宋" w:hAnsi="仿宋" w:eastAsia="仿宋_GB2312" w:cs="仿宋_GB2312"/>
                <w:sz w:val="24"/>
              </w:rPr>
              <w:t>第二大股东</w:t>
            </w:r>
          </w:p>
        </w:tc>
        <w:tc>
          <w:tcPr>
            <w:tcW w:w="1276"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名称</w:t>
            </w:r>
          </w:p>
        </w:tc>
        <w:tc>
          <w:tcPr>
            <w:tcW w:w="5448" w:type="dxa"/>
            <w:gridSpan w:val="9"/>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before="100" w:beforeAutospacing="1"/>
              <w:jc w:val="center"/>
              <w:rPr>
                <w:rFonts w:ascii="仿宋" w:hAnsi="仿宋" w:eastAsia="仿宋" w:cs="仿宋_GB2312"/>
                <w:sz w:val="24"/>
              </w:rPr>
            </w:pPr>
          </w:p>
        </w:tc>
        <w:tc>
          <w:tcPr>
            <w:tcW w:w="1276" w:type="dxa"/>
            <w:noWrap w:val="0"/>
            <w:vAlign w:val="center"/>
          </w:tcPr>
          <w:p>
            <w:pPr>
              <w:jc w:val="center"/>
              <w:rPr>
                <w:rFonts w:ascii="仿宋" w:hAnsi="仿宋" w:eastAsia="仿宋_GB2312" w:cs="宋体"/>
                <w:sz w:val="24"/>
              </w:rPr>
            </w:pPr>
            <w:r>
              <w:rPr>
                <w:rFonts w:ascii="仿宋" w:hAnsi="仿宋" w:eastAsia="仿宋_GB2312" w:cs="宋体"/>
                <w:sz w:val="24"/>
              </w:rPr>
              <w:t>登记注册</w:t>
            </w:r>
          </w:p>
          <w:p>
            <w:pPr>
              <w:jc w:val="center"/>
              <w:rPr>
                <w:rFonts w:ascii="仿宋" w:hAnsi="仿宋" w:eastAsia="仿宋" w:cs="仿宋_GB2312"/>
                <w:sz w:val="24"/>
              </w:rPr>
            </w:pPr>
            <w:r>
              <w:rPr>
                <w:rFonts w:ascii="仿宋" w:hAnsi="仿宋" w:eastAsia="仿宋_GB2312" w:cs="宋体"/>
                <w:sz w:val="24"/>
              </w:rPr>
              <w:t>类型</w:t>
            </w:r>
          </w:p>
        </w:tc>
        <w:tc>
          <w:tcPr>
            <w:tcW w:w="5448" w:type="dxa"/>
            <w:gridSpan w:val="9"/>
            <w:noWrap w:val="0"/>
            <w:vAlign w:val="center"/>
          </w:tcPr>
          <w:p>
            <w:pPr>
              <w:tabs>
                <w:tab w:val="left" w:pos="1500"/>
                <w:tab w:val="left" w:pos="3255"/>
                <w:tab w:val="left" w:pos="550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□国有 □有限责任公司 □与港澳台商合资经营 □中外合资经营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□集体 □股份有限公司 □与港澳台商合作经   □中外合作经营</w:t>
            </w:r>
          </w:p>
          <w:p>
            <w:pPr>
              <w:tabs>
                <w:tab w:val="left" w:pos="6135"/>
              </w:tabs>
              <w:spacing w:line="200" w:lineRule="exact"/>
              <w:jc w:val="left"/>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□股份合作 □私营企业 □港澳台商独资       □外资企业</w:t>
            </w:r>
          </w:p>
          <w:p>
            <w:pPr>
              <w:tabs>
                <w:tab w:val="left" w:pos="6135"/>
              </w:tabs>
              <w:spacing w:line="200" w:lineRule="exact"/>
              <w:jc w:val="left"/>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□联营企业 □自然人   □其他：</w:t>
            </w:r>
          </w:p>
          <w:p>
            <w:pPr>
              <w:spacing w:before="100" w:beforeAutospacing="1"/>
              <w:jc w:val="center"/>
              <w:rPr>
                <w:rFonts w:ascii="仿宋" w:hAnsi="仿宋" w:eastAsia="仿宋"/>
                <w:sz w:val="24"/>
              </w:rPr>
            </w:pPr>
            <w:r>
              <w:rPr>
                <w:rFonts w:hint="eastAsia" w:ascii="宋体" w:hAnsi="宋体"/>
                <w:sz w:val="18"/>
                <w:szCs w:val="1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before="100" w:beforeAutospacing="1"/>
              <w:jc w:val="center"/>
              <w:rPr>
                <w:rFonts w:ascii="仿宋" w:hAnsi="仿宋" w:eastAsia="仿宋"/>
                <w:sz w:val="24"/>
              </w:rPr>
            </w:pPr>
          </w:p>
        </w:tc>
        <w:tc>
          <w:tcPr>
            <w:tcW w:w="1276"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法定代表</w:t>
            </w:r>
          </w:p>
        </w:tc>
        <w:tc>
          <w:tcPr>
            <w:tcW w:w="1843" w:type="dxa"/>
            <w:gridSpan w:val="3"/>
            <w:noWrap w:val="0"/>
            <w:vAlign w:val="center"/>
          </w:tcPr>
          <w:p>
            <w:pPr>
              <w:spacing w:before="100" w:beforeAutospacing="1"/>
              <w:ind w:left="-107" w:leftChars="-51"/>
              <w:jc w:val="center"/>
              <w:rPr>
                <w:rFonts w:ascii="仿宋" w:hAnsi="仿宋" w:eastAsia="仿宋"/>
                <w:sz w:val="24"/>
              </w:rPr>
            </w:pPr>
          </w:p>
        </w:tc>
        <w:tc>
          <w:tcPr>
            <w:tcW w:w="1984" w:type="dxa"/>
            <w:gridSpan w:val="4"/>
            <w:noWrap w:val="0"/>
            <w:vAlign w:val="center"/>
          </w:tcPr>
          <w:p>
            <w:pPr>
              <w:ind w:firstLine="360" w:firstLineChars="150"/>
              <w:jc w:val="center"/>
              <w:rPr>
                <w:rFonts w:ascii="仿宋" w:hAnsi="仿宋" w:eastAsia="仿宋"/>
                <w:sz w:val="24"/>
              </w:rPr>
            </w:pPr>
            <w:r>
              <w:rPr>
                <w:rFonts w:hint="eastAsia" w:ascii="仿宋" w:hAnsi="仿宋" w:eastAsia="仿宋_GB2312" w:cs="宋体"/>
                <w:sz w:val="24"/>
              </w:rPr>
              <w:t>持股比例</w:t>
            </w:r>
          </w:p>
        </w:tc>
        <w:tc>
          <w:tcPr>
            <w:tcW w:w="1621" w:type="dxa"/>
            <w:gridSpan w:val="2"/>
            <w:noWrap w:val="0"/>
            <w:vAlign w:val="center"/>
          </w:tcPr>
          <w:p>
            <w:pPr>
              <w:spacing w:before="100" w:beforeAutospacing="1"/>
              <w:jc w:val="center"/>
              <w:rPr>
                <w:rFonts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spacing w:before="100" w:beforeAutospacing="1"/>
              <w:jc w:val="center"/>
              <w:rPr>
                <w:rFonts w:ascii="仿宋" w:hAnsi="仿宋" w:eastAsia="仿宋"/>
                <w:sz w:val="24"/>
              </w:rPr>
            </w:pPr>
          </w:p>
        </w:tc>
        <w:tc>
          <w:tcPr>
            <w:tcW w:w="1276"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注册资本</w:t>
            </w:r>
          </w:p>
        </w:tc>
        <w:tc>
          <w:tcPr>
            <w:tcW w:w="5448" w:type="dxa"/>
            <w:gridSpan w:val="9"/>
            <w:noWrap w:val="0"/>
            <w:vAlign w:val="center"/>
          </w:tcPr>
          <w:p>
            <w:pPr>
              <w:spacing w:before="100" w:beforeAutospacing="1"/>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exact"/>
        </w:trPr>
        <w:tc>
          <w:tcPr>
            <w:tcW w:w="682" w:type="dxa"/>
            <w:vMerge w:val="restart"/>
            <w:noWrap w:val="0"/>
            <w:vAlign w:val="center"/>
          </w:tcPr>
          <w:p>
            <w:pPr>
              <w:spacing w:before="100" w:beforeAutospacing="1"/>
              <w:jc w:val="center"/>
              <w:rPr>
                <w:rFonts w:ascii="仿宋" w:hAnsi="仿宋" w:eastAsia="仿宋"/>
                <w:sz w:val="24"/>
              </w:rPr>
            </w:pPr>
            <w:r>
              <w:rPr>
                <w:rFonts w:hint="eastAsia" w:ascii="仿宋" w:hAnsi="仿宋" w:eastAsia="仿宋_GB2312" w:cs="黑体"/>
                <w:sz w:val="24"/>
              </w:rPr>
              <w:t>申请单位资产情况</w:t>
            </w: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注册资本</w:t>
            </w:r>
          </w:p>
        </w:tc>
        <w:tc>
          <w:tcPr>
            <w:tcW w:w="3119" w:type="dxa"/>
            <w:gridSpan w:val="4"/>
            <w:noWrap w:val="0"/>
            <w:vAlign w:val="center"/>
          </w:tcPr>
          <w:p>
            <w:pPr>
              <w:jc w:val="center"/>
              <w:rPr>
                <w:rFonts w:ascii="仿宋" w:hAnsi="仿宋" w:eastAsia="仿宋"/>
                <w:sz w:val="24"/>
              </w:rPr>
            </w:pPr>
            <w:r>
              <w:rPr>
                <w:rFonts w:ascii="仿宋" w:hAnsi="仿宋" w:eastAsia="仿宋"/>
                <w:b/>
                <w:color w:val="FF0000"/>
                <w:sz w:val="24"/>
              </w:rPr>
              <mc:AlternateContent>
                <mc:Choice Requires="wps">
                  <w:drawing>
                    <wp:anchor distT="0" distB="0" distL="114300" distR="114300" simplePos="0" relativeHeight="251663360" behindDoc="0" locked="0" layoutInCell="1" allowOverlap="1">
                      <wp:simplePos x="0" y="0"/>
                      <wp:positionH relativeFrom="column">
                        <wp:posOffset>654685</wp:posOffset>
                      </wp:positionH>
                      <wp:positionV relativeFrom="paragraph">
                        <wp:posOffset>793750</wp:posOffset>
                      </wp:positionV>
                      <wp:extent cx="1192530" cy="508635"/>
                      <wp:effectExtent l="4445" t="5080" r="9525" b="121285"/>
                      <wp:wrapNone/>
                      <wp:docPr id="3" name="矩形标注 3"/>
                      <wp:cNvGraphicFramePr/>
                      <a:graphic xmlns:a="http://schemas.openxmlformats.org/drawingml/2006/main">
                        <a:graphicData uri="http://schemas.microsoft.com/office/word/2010/wordprocessingShape">
                          <wps:wsp>
                            <wps:cNvSpPr/>
                            <wps:spPr>
                              <a:xfrm>
                                <a:off x="0" y="0"/>
                                <a:ext cx="1192530" cy="508635"/>
                              </a:xfrm>
                              <a:prstGeom prst="wedgeRectCallout">
                                <a:avLst>
                                  <a:gd name="adj1" fmla="val -33815"/>
                                  <a:gd name="adj2" fmla="val 71222"/>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 w:hAnsi="仿宋" w:eastAsia="仿宋_GB2312"/>
                                      <w:b/>
                                      <w:color w:val="FF0000"/>
                                    </w:rPr>
                                    <w:t>请核对审计报告后填写</w:t>
                                  </w:r>
                                </w:p>
                              </w:txbxContent>
                            </wps:txbx>
                            <wps:bodyPr upright="1"/>
                          </wps:wsp>
                        </a:graphicData>
                      </a:graphic>
                    </wp:anchor>
                  </w:drawing>
                </mc:Choice>
                <mc:Fallback>
                  <w:pict>
                    <v:shape id="_x0000_s1026" o:spid="_x0000_s1026" o:spt="61" type="#_x0000_t61" style="position:absolute;left:0pt;margin-left:51.55pt;margin-top:62.5pt;height:40.05pt;width:93.9pt;z-index:251663360;mso-width-relative:page;mso-height-relative:page;" fillcolor="#FFFFFF" filled="t" stroked="t" coordsize="21600,21600" o:gfxdata="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omRONgAAAALAQAADwAAAAAAAAABACAAAAAiAAAAZHJzL2Rvd25y&#10;ZXYueG1sUEsBAhQAFAAAAAgAh07iQBplnKE3AgAAjQQAAA4AAAAAAAAAAQAgAAAAJwEAAGRycy9l&#10;Mm9Eb2MueG1sUEsFBgAAAAAGAAYAWQEAANAFAAAAAA==&#10;" adj="3496,26184">
                      <v:fill on="t" focussize="0,0"/>
                      <v:stroke color="#000000" joinstyle="miter"/>
                      <v:imagedata o:title=""/>
                      <o:lock v:ext="edit" aspectratio="f"/>
                      <v:textbox>
                        <w:txbxContent>
                          <w:p>
                            <w:r>
                              <w:rPr>
                                <w:rFonts w:hint="eastAsia" w:ascii="仿宋" w:hAnsi="仿宋" w:eastAsia="仿宋_GB2312"/>
                                <w:b/>
                                <w:color w:val="FF0000"/>
                              </w:rPr>
                              <w:t>请核对审计报告后填写</w:t>
                            </w:r>
                          </w:p>
                        </w:txbxContent>
                      </v:textbox>
                    </v:shape>
                  </w:pict>
                </mc:Fallback>
              </mc:AlternateContent>
            </w:r>
            <w:r>
              <w:rPr>
                <w:rFonts w:ascii="仿宋" w:hAnsi="仿宋" w:eastAsia="仿宋"/>
                <w:b/>
                <w:color w:val="FF0000"/>
                <w:sz w:val="24"/>
              </w:rPr>
              <mc:AlternateContent>
                <mc:Choice Requires="wps">
                  <w:drawing>
                    <wp:anchor distT="0" distB="0" distL="114300" distR="114300" simplePos="0" relativeHeight="251661312" behindDoc="0" locked="0" layoutInCell="1" allowOverlap="1">
                      <wp:simplePos x="0" y="0"/>
                      <wp:positionH relativeFrom="column">
                        <wp:posOffset>172085</wp:posOffset>
                      </wp:positionH>
                      <wp:positionV relativeFrom="paragraph">
                        <wp:posOffset>58420</wp:posOffset>
                      </wp:positionV>
                      <wp:extent cx="1475740" cy="672465"/>
                      <wp:effectExtent l="4445" t="4445" r="5715" b="148590"/>
                      <wp:wrapNone/>
                      <wp:docPr id="2" name="矩形标注 2"/>
                      <wp:cNvGraphicFramePr/>
                      <a:graphic xmlns:a="http://schemas.openxmlformats.org/drawingml/2006/main">
                        <a:graphicData uri="http://schemas.microsoft.com/office/word/2010/wordprocessingShape">
                          <wps:wsp>
                            <wps:cNvSpPr/>
                            <wps:spPr>
                              <a:xfrm>
                                <a:off x="0" y="0"/>
                                <a:ext cx="1475740" cy="672465"/>
                              </a:xfrm>
                              <a:prstGeom prst="wedgeRectCallout">
                                <a:avLst>
                                  <a:gd name="adj1" fmla="val -46255"/>
                                  <a:gd name="adj2" fmla="val 69926"/>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 w:hAnsi="仿宋" w:eastAsia="仿宋_GB2312"/>
                                      <w:b/>
                                      <w:color w:val="FF0000"/>
                                    </w:rPr>
                                    <w:t>请核对审计报告、公司章程和营业执照后准确填写</w:t>
                                  </w:r>
                                </w:p>
                              </w:txbxContent>
                            </wps:txbx>
                            <wps:bodyPr upright="1"/>
                          </wps:wsp>
                        </a:graphicData>
                      </a:graphic>
                    </wp:anchor>
                  </w:drawing>
                </mc:Choice>
                <mc:Fallback>
                  <w:pict>
                    <v:shape id="_x0000_s1026" o:spid="_x0000_s1026" o:spt="61" type="#_x0000_t61" style="position:absolute;left:0pt;margin-left:13.55pt;margin-top:4.6pt;height:52.95pt;width:116.2pt;z-index:251661312;mso-width-relative:page;mso-height-relative:page;" fillcolor="#FFFFFF" filled="t" stroked="t" coordsize="21600,21600" o:gfxdata="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jCBzfXAAAACAEAAA8AAAAAAAAAAQAgAAAAIgAAAGRycy9kb3du&#10;cmV2LnhtbFBLAQIUABQAAAAIAIdO4kAYjjDdOQIAAI0EAAAOAAAAAAAAAAEAIAAAACYBAABkcnMv&#10;ZTJvRG9jLnhtbFBLBQYAAAAABgAGAFkBAADRBQAAAAA=&#10;" adj="809,25904">
                      <v:fill on="t" focussize="0,0"/>
                      <v:stroke color="#000000" joinstyle="miter"/>
                      <v:imagedata o:title=""/>
                      <o:lock v:ext="edit" aspectratio="f"/>
                      <v:textbox>
                        <w:txbxContent>
                          <w:p>
                            <w:r>
                              <w:rPr>
                                <w:rFonts w:hint="eastAsia" w:ascii="仿宋" w:hAnsi="仿宋" w:eastAsia="仿宋_GB2312"/>
                                <w:b/>
                                <w:color w:val="FF0000"/>
                              </w:rPr>
                              <w:t>请核对审计报告、公司章程和营业执照后准确填写</w:t>
                            </w:r>
                          </w:p>
                        </w:txbxContent>
                      </v:textbox>
                    </v:shape>
                  </w:pict>
                </mc:Fallback>
              </mc:AlternateContent>
            </w:r>
          </w:p>
        </w:tc>
        <w:tc>
          <w:tcPr>
            <w:tcW w:w="1984" w:type="dxa"/>
            <w:gridSpan w:val="4"/>
            <w:noWrap w:val="0"/>
            <w:vAlign w:val="center"/>
          </w:tcPr>
          <w:p>
            <w:pPr>
              <w:jc w:val="center"/>
              <w:rPr>
                <w:rFonts w:ascii="仿宋" w:hAnsi="仿宋" w:eastAsia="仿宋"/>
                <w:sz w:val="24"/>
              </w:rPr>
            </w:pPr>
            <w:r>
              <w:rPr>
                <w:rFonts w:hint="eastAsia" w:ascii="仿宋" w:hAnsi="仿宋" w:eastAsia="仿宋_GB2312" w:cs="仿宋_GB2312"/>
                <w:sz w:val="24"/>
              </w:rPr>
              <w:t>_____年净资产</w:t>
            </w:r>
          </w:p>
        </w:tc>
        <w:tc>
          <w:tcPr>
            <w:tcW w:w="1621" w:type="dxa"/>
            <w:gridSpan w:val="2"/>
            <w:noWrap w:val="0"/>
            <w:vAlign w:val="center"/>
          </w:tcPr>
          <w:p>
            <w:pPr>
              <w:jc w:val="center"/>
              <w:rPr>
                <w:rFonts w:ascii="仿宋" w:hAnsi="仿宋" w:eastAsia="仿宋"/>
                <w:b/>
                <w:color w:val="FF0000"/>
                <w:sz w:val="24"/>
              </w:rPr>
            </w:pPr>
            <w:r>
              <w:rPr>
                <w:rFonts w:ascii="仿宋" w:hAnsi="仿宋" w:eastAsia="仿宋" w:cs="黑体"/>
                <w:sz w:val="24"/>
              </w:rPr>
              <mc:AlternateContent>
                <mc:Choice Requires="wps">
                  <w:drawing>
                    <wp:anchor distT="0" distB="0" distL="114300" distR="114300" simplePos="0" relativeHeight="251662336" behindDoc="0" locked="0" layoutInCell="1" allowOverlap="1">
                      <wp:simplePos x="0" y="0"/>
                      <wp:positionH relativeFrom="column">
                        <wp:posOffset>-10160</wp:posOffset>
                      </wp:positionH>
                      <wp:positionV relativeFrom="paragraph">
                        <wp:posOffset>58420</wp:posOffset>
                      </wp:positionV>
                      <wp:extent cx="951865" cy="1048385"/>
                      <wp:effectExtent l="5080" t="4445" r="8255" b="153670"/>
                      <wp:wrapNone/>
                      <wp:docPr id="4" name="矩形标注 4"/>
                      <wp:cNvGraphicFramePr/>
                      <a:graphic xmlns:a="http://schemas.openxmlformats.org/drawingml/2006/main">
                        <a:graphicData uri="http://schemas.microsoft.com/office/word/2010/wordprocessingShape">
                          <wps:wsp>
                            <wps:cNvSpPr/>
                            <wps:spPr>
                              <a:xfrm>
                                <a:off x="0" y="0"/>
                                <a:ext cx="951865" cy="1048385"/>
                              </a:xfrm>
                              <a:prstGeom prst="wedgeRectCallout">
                                <a:avLst>
                                  <a:gd name="adj1" fmla="val -44194"/>
                                  <a:gd name="adj2" fmla="val 62782"/>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仿宋" w:hAnsi="仿宋" w:eastAsia="仿宋_GB2312"/>
                                      <w:b/>
                                      <w:color w:val="FF0000"/>
                                    </w:rPr>
                                    <w:t>请核对审计报告、公司章程和营业执照后填写</w:t>
                                  </w:r>
                                </w:p>
                              </w:txbxContent>
                            </wps:txbx>
                            <wps:bodyPr upright="1"/>
                          </wps:wsp>
                        </a:graphicData>
                      </a:graphic>
                    </wp:anchor>
                  </w:drawing>
                </mc:Choice>
                <mc:Fallback>
                  <w:pict>
                    <v:shape id="_x0000_s1026" o:spid="_x0000_s1026" o:spt="61" type="#_x0000_t61" style="position:absolute;left:0pt;margin-left:-0.8pt;margin-top:4.6pt;height:82.55pt;width:74.95pt;z-index:251662336;mso-width-relative:page;mso-height-relative:page;" fillcolor="#FFFFFF" filled="t" stroked="t" coordsize="21600,21600" o:gfxdata="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DMukNkAAAAIAQAADwAAAAAAAAABACAAAAAiAAAAZHJzL2Rvd25y&#10;ZXYueG1sUEsBAhQAFAAAAAgAh07iQOWC6lI2AgAAjQQAAA4AAAAAAAAAAQAgAAAAKAEAAGRycy9l&#10;Mm9Eb2MueG1sUEsFBgAAAAAGAAYAWQEAANAFAAAAAA==&#10;" adj="1254,24361">
                      <v:fill on="t" focussize="0,0"/>
                      <v:stroke color="#000000" joinstyle="miter"/>
                      <v:imagedata o:title=""/>
                      <o:lock v:ext="edit" aspectratio="f"/>
                      <v:textbox>
                        <w:txbxContent>
                          <w:p>
                            <w:r>
                              <w:rPr>
                                <w:rFonts w:hint="eastAsia" w:ascii="仿宋" w:hAnsi="仿宋" w:eastAsia="仿宋_GB2312"/>
                                <w:b/>
                                <w:color w:val="FF0000"/>
                              </w:rPr>
                              <w:t>请核对审计报告、公司章程和营业执照后填写</w:t>
                            </w:r>
                          </w:p>
                        </w:txbxContent>
                      </v:textbox>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noWrap w:val="0"/>
            <w:vAlign w:val="center"/>
          </w:tcPr>
          <w:p>
            <w:pPr>
              <w:spacing w:before="100" w:beforeAutospacing="1"/>
              <w:jc w:val="center"/>
              <w:rPr>
                <w:rFonts w:ascii="仿宋" w:hAnsi="仿宋" w:eastAsia="仿宋"/>
                <w:sz w:val="24"/>
              </w:rPr>
            </w:pPr>
            <w:r>
              <w:rPr>
                <w:rFonts w:hint="eastAsia" w:ascii="仿宋" w:hAnsi="仿宋" w:eastAsia="仿宋_GB2312" w:cs="仿宋_GB2312"/>
                <w:sz w:val="24"/>
              </w:rPr>
              <w:t>实收资本</w:t>
            </w:r>
          </w:p>
        </w:tc>
        <w:tc>
          <w:tcPr>
            <w:tcW w:w="3119" w:type="dxa"/>
            <w:gridSpan w:val="4"/>
            <w:noWrap w:val="0"/>
            <w:vAlign w:val="center"/>
          </w:tcPr>
          <w:p>
            <w:pPr>
              <w:jc w:val="center"/>
              <w:rPr>
                <w:rFonts w:ascii="仿宋" w:hAnsi="仿宋" w:eastAsia="仿宋"/>
                <w:sz w:val="24"/>
              </w:rPr>
            </w:pPr>
          </w:p>
        </w:tc>
        <w:tc>
          <w:tcPr>
            <w:tcW w:w="1984" w:type="dxa"/>
            <w:gridSpan w:val="4"/>
            <w:noWrap w:val="0"/>
            <w:vAlign w:val="center"/>
          </w:tcPr>
          <w:p>
            <w:pPr>
              <w:jc w:val="center"/>
              <w:rPr>
                <w:rFonts w:ascii="仿宋" w:hAnsi="仿宋" w:eastAsia="仿宋"/>
                <w:sz w:val="24"/>
              </w:rPr>
            </w:pPr>
            <w:r>
              <w:rPr>
                <w:rFonts w:hint="eastAsia" w:ascii="仿宋" w:hAnsi="仿宋" w:eastAsia="仿宋_GB2312" w:cs="仿宋_GB2312"/>
                <w:sz w:val="24"/>
              </w:rPr>
              <w:t>_____年净资产</w:t>
            </w:r>
          </w:p>
        </w:tc>
        <w:tc>
          <w:tcPr>
            <w:tcW w:w="1621" w:type="dxa"/>
            <w:gridSpan w:val="2"/>
            <w:noWrap w:val="0"/>
            <w:vAlign w:val="center"/>
          </w:tcPr>
          <w:p>
            <w:pPr>
              <w:jc w:val="center"/>
              <w:rPr>
                <w:rFonts w:ascii="仿宋" w:hAnsi="仿宋" w:eastAsia="仿宋"/>
                <w:b/>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restart"/>
            <w:noWrap w:val="0"/>
            <w:vAlign w:val="center"/>
          </w:tcPr>
          <w:p>
            <w:pPr>
              <w:jc w:val="center"/>
              <w:rPr>
                <w:rFonts w:ascii="仿宋" w:hAnsi="仿宋" w:eastAsia="仿宋"/>
                <w:sz w:val="24"/>
              </w:rPr>
            </w:pPr>
            <w:r>
              <w:rPr>
                <w:rFonts w:hint="eastAsia" w:ascii="仿宋" w:hAnsi="仿宋" w:eastAsia="仿宋_GB2312" w:cs="仿宋_GB2312"/>
                <w:sz w:val="24"/>
              </w:rPr>
              <w:t>对外担保</w:t>
            </w:r>
          </w:p>
        </w:tc>
        <w:tc>
          <w:tcPr>
            <w:tcW w:w="3119" w:type="dxa"/>
            <w:gridSpan w:val="4"/>
            <w:noWrap w:val="0"/>
            <w:vAlign w:val="center"/>
          </w:tcPr>
          <w:p>
            <w:pPr>
              <w:jc w:val="center"/>
              <w:rPr>
                <w:rFonts w:ascii="仿宋" w:hAnsi="仿宋" w:eastAsia="仿宋"/>
                <w:sz w:val="24"/>
              </w:rPr>
            </w:pPr>
            <w:r>
              <w:rPr>
                <w:rFonts w:hint="eastAsia" w:ascii="仿宋" w:hAnsi="仿宋" w:eastAsia="仿宋_GB2312" w:cs="仿宋_GB2312"/>
                <w:sz w:val="24"/>
              </w:rPr>
              <w:t>是否为其它企业担保</w:t>
            </w:r>
          </w:p>
        </w:tc>
        <w:tc>
          <w:tcPr>
            <w:tcW w:w="1984" w:type="dxa"/>
            <w:gridSpan w:val="4"/>
            <w:noWrap w:val="0"/>
            <w:vAlign w:val="center"/>
          </w:tcPr>
          <w:p>
            <w:pPr>
              <w:jc w:val="center"/>
              <w:rPr>
                <w:rFonts w:ascii="仿宋" w:hAnsi="仿宋" w:eastAsia="仿宋"/>
                <w:sz w:val="24"/>
              </w:rPr>
            </w:pPr>
            <w:r>
              <w:rPr>
                <w:rFonts w:hint="eastAsia" w:ascii="仿宋" w:hAnsi="仿宋" w:eastAsia="仿宋_GB2312" w:cs="仿宋_GB2312"/>
                <w:sz w:val="24"/>
              </w:rPr>
              <w:t>担保金额</w:t>
            </w:r>
          </w:p>
        </w:tc>
        <w:tc>
          <w:tcPr>
            <w:tcW w:w="1621" w:type="dxa"/>
            <w:gridSpan w:val="2"/>
            <w:noWrap w:val="0"/>
            <w:vAlign w:val="center"/>
          </w:tcPr>
          <w:p>
            <w:pPr>
              <w:jc w:val="center"/>
              <w:rPr>
                <w:rFonts w:ascii="仿宋" w:hAnsi="仿宋" w:eastAsia="仿宋"/>
                <w:sz w:val="24"/>
              </w:rPr>
            </w:pPr>
            <w:r>
              <w:rPr>
                <w:rFonts w:hint="eastAsia" w:ascii="仿宋" w:hAnsi="仿宋" w:eastAsia="仿宋_GB2312" w:cs="仿宋_GB2312"/>
                <w:sz w:val="24"/>
              </w:rPr>
              <w:t>担保到期日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spacing w:before="100" w:beforeAutospacing="1"/>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3119" w:type="dxa"/>
            <w:gridSpan w:val="4"/>
            <w:noWrap w:val="0"/>
            <w:vAlign w:val="center"/>
          </w:tcPr>
          <w:p>
            <w:pPr>
              <w:jc w:val="center"/>
              <w:rPr>
                <w:rFonts w:ascii="仿宋" w:hAnsi="仿宋" w:eastAsia="仿宋"/>
                <w:sz w:val="24"/>
              </w:rPr>
            </w:pPr>
          </w:p>
        </w:tc>
        <w:tc>
          <w:tcPr>
            <w:tcW w:w="1984" w:type="dxa"/>
            <w:gridSpan w:val="4"/>
            <w:noWrap w:val="0"/>
            <w:vAlign w:val="center"/>
          </w:tcPr>
          <w:p>
            <w:pPr>
              <w:jc w:val="center"/>
              <w:rPr>
                <w:rFonts w:ascii="仿宋" w:hAnsi="仿宋" w:eastAsia="仿宋"/>
                <w:sz w:val="24"/>
              </w:rPr>
            </w:pPr>
          </w:p>
        </w:tc>
        <w:tc>
          <w:tcPr>
            <w:tcW w:w="1621" w:type="dxa"/>
            <w:gridSpan w:val="2"/>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jc w:val="center"/>
              <w:rPr>
                <w:rFonts w:ascii="仿宋" w:hAnsi="仿宋" w:eastAsia="仿宋"/>
                <w:sz w:val="24"/>
              </w:rPr>
            </w:pPr>
          </w:p>
        </w:tc>
        <w:tc>
          <w:tcPr>
            <w:tcW w:w="1269" w:type="dxa"/>
            <w:vMerge w:val="restart"/>
            <w:noWrap w:val="0"/>
            <w:vAlign w:val="center"/>
          </w:tcPr>
          <w:p>
            <w:pPr>
              <w:jc w:val="center"/>
              <w:rPr>
                <w:rFonts w:ascii="仿宋" w:hAnsi="仿宋" w:eastAsia="仿宋"/>
                <w:sz w:val="24"/>
              </w:rPr>
            </w:pPr>
            <w:r>
              <w:rPr>
                <w:rFonts w:hint="eastAsia" w:ascii="仿宋" w:hAnsi="仿宋" w:eastAsia="仿宋_GB2312" w:cs="仿宋_GB2312"/>
                <w:sz w:val="24"/>
              </w:rPr>
              <w:t>土地证</w:t>
            </w:r>
          </w:p>
        </w:tc>
        <w:tc>
          <w:tcPr>
            <w:tcW w:w="3119" w:type="dxa"/>
            <w:gridSpan w:val="4"/>
            <w:noWrap w:val="0"/>
            <w:vAlign w:val="center"/>
          </w:tcPr>
          <w:p>
            <w:pPr>
              <w:jc w:val="center"/>
              <w:rPr>
                <w:rFonts w:ascii="仿宋" w:hAnsi="仿宋" w:eastAsia="仿宋"/>
                <w:sz w:val="24"/>
              </w:rPr>
            </w:pPr>
            <w:r>
              <w:rPr>
                <w:rFonts w:hint="eastAsia" w:ascii="仿宋" w:hAnsi="仿宋" w:eastAsia="仿宋_GB2312" w:cs="仿宋_GB2312"/>
                <w:sz w:val="24"/>
              </w:rPr>
              <w:t>是否已办理</w:t>
            </w:r>
          </w:p>
        </w:tc>
        <w:tc>
          <w:tcPr>
            <w:tcW w:w="1984" w:type="dxa"/>
            <w:gridSpan w:val="4"/>
            <w:noWrap w:val="0"/>
            <w:vAlign w:val="center"/>
          </w:tcPr>
          <w:p>
            <w:pPr>
              <w:jc w:val="center"/>
              <w:rPr>
                <w:rFonts w:ascii="仿宋" w:hAnsi="仿宋" w:eastAsia="仿宋"/>
                <w:sz w:val="24"/>
              </w:rPr>
            </w:pPr>
            <w:r>
              <w:rPr>
                <w:rFonts w:hint="eastAsia" w:ascii="仿宋" w:hAnsi="仿宋" w:eastAsia="仿宋_GB2312" w:cs="仿宋_GB2312"/>
                <w:sz w:val="24"/>
              </w:rPr>
              <w:t>是否抵押</w:t>
            </w:r>
          </w:p>
        </w:tc>
        <w:tc>
          <w:tcPr>
            <w:tcW w:w="1621" w:type="dxa"/>
            <w:gridSpan w:val="2"/>
            <w:noWrap w:val="0"/>
            <w:vAlign w:val="center"/>
          </w:tcPr>
          <w:p>
            <w:pPr>
              <w:jc w:val="center"/>
              <w:rPr>
                <w:rFonts w:ascii="仿宋" w:hAnsi="仿宋" w:eastAsia="仿宋"/>
                <w:sz w:val="24"/>
              </w:rPr>
            </w:pPr>
            <w:r>
              <w:rPr>
                <w:rFonts w:hint="eastAsia" w:ascii="仿宋" w:hAnsi="仿宋" w:eastAsia="仿宋_GB2312" w:cs="仿宋_GB2312"/>
                <w:sz w:val="24"/>
              </w:rPr>
              <w:t>抵押到期日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3119" w:type="dxa"/>
            <w:gridSpan w:val="4"/>
            <w:noWrap w:val="0"/>
            <w:vAlign w:val="center"/>
          </w:tcPr>
          <w:p>
            <w:pPr>
              <w:jc w:val="center"/>
              <w:rPr>
                <w:rFonts w:ascii="仿宋" w:hAnsi="仿宋" w:eastAsia="仿宋"/>
                <w:sz w:val="24"/>
              </w:rPr>
            </w:pPr>
          </w:p>
        </w:tc>
        <w:tc>
          <w:tcPr>
            <w:tcW w:w="1984" w:type="dxa"/>
            <w:gridSpan w:val="4"/>
            <w:noWrap w:val="0"/>
            <w:vAlign w:val="center"/>
          </w:tcPr>
          <w:p>
            <w:pPr>
              <w:jc w:val="center"/>
              <w:rPr>
                <w:rFonts w:ascii="仿宋" w:hAnsi="仿宋" w:eastAsia="仿宋"/>
                <w:sz w:val="24"/>
              </w:rPr>
            </w:pPr>
          </w:p>
        </w:tc>
        <w:tc>
          <w:tcPr>
            <w:tcW w:w="1621" w:type="dxa"/>
            <w:gridSpan w:val="2"/>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jc w:val="center"/>
              <w:rPr>
                <w:rFonts w:ascii="仿宋" w:hAnsi="仿宋" w:eastAsia="仿宋"/>
                <w:sz w:val="24"/>
              </w:rPr>
            </w:pPr>
          </w:p>
        </w:tc>
        <w:tc>
          <w:tcPr>
            <w:tcW w:w="1269" w:type="dxa"/>
            <w:vMerge w:val="restart"/>
            <w:noWrap w:val="0"/>
            <w:vAlign w:val="center"/>
          </w:tcPr>
          <w:p>
            <w:pPr>
              <w:jc w:val="center"/>
              <w:rPr>
                <w:rFonts w:ascii="仿宋" w:hAnsi="仿宋" w:eastAsia="仿宋"/>
                <w:sz w:val="24"/>
              </w:rPr>
            </w:pPr>
            <w:r>
              <w:rPr>
                <w:rFonts w:hint="eastAsia" w:ascii="仿宋" w:hAnsi="仿宋" w:eastAsia="仿宋_GB2312" w:cs="仿宋_GB2312"/>
                <w:sz w:val="24"/>
              </w:rPr>
              <w:t>房产证</w:t>
            </w:r>
          </w:p>
        </w:tc>
        <w:tc>
          <w:tcPr>
            <w:tcW w:w="3119" w:type="dxa"/>
            <w:gridSpan w:val="4"/>
            <w:noWrap w:val="0"/>
            <w:vAlign w:val="center"/>
          </w:tcPr>
          <w:p>
            <w:pPr>
              <w:jc w:val="center"/>
              <w:rPr>
                <w:rFonts w:ascii="仿宋" w:hAnsi="仿宋" w:eastAsia="仿宋"/>
                <w:sz w:val="24"/>
              </w:rPr>
            </w:pPr>
            <w:r>
              <w:rPr>
                <w:rFonts w:hint="eastAsia" w:ascii="仿宋" w:hAnsi="仿宋" w:eastAsia="仿宋_GB2312" w:cs="仿宋_GB2312"/>
                <w:sz w:val="24"/>
              </w:rPr>
              <w:t>是否已办理</w:t>
            </w:r>
          </w:p>
        </w:tc>
        <w:tc>
          <w:tcPr>
            <w:tcW w:w="1984" w:type="dxa"/>
            <w:gridSpan w:val="4"/>
            <w:noWrap w:val="0"/>
            <w:vAlign w:val="center"/>
          </w:tcPr>
          <w:p>
            <w:pPr>
              <w:jc w:val="center"/>
              <w:rPr>
                <w:rFonts w:ascii="仿宋" w:hAnsi="仿宋" w:eastAsia="仿宋"/>
                <w:sz w:val="24"/>
              </w:rPr>
            </w:pPr>
            <w:r>
              <w:rPr>
                <w:rFonts w:hint="eastAsia" w:ascii="仿宋" w:hAnsi="仿宋" w:eastAsia="仿宋_GB2312" w:cs="仿宋_GB2312"/>
                <w:sz w:val="24"/>
              </w:rPr>
              <w:t>是否抵押</w:t>
            </w:r>
          </w:p>
        </w:tc>
        <w:tc>
          <w:tcPr>
            <w:tcW w:w="1621" w:type="dxa"/>
            <w:gridSpan w:val="2"/>
            <w:noWrap w:val="0"/>
            <w:vAlign w:val="center"/>
          </w:tcPr>
          <w:p>
            <w:pPr>
              <w:jc w:val="center"/>
              <w:rPr>
                <w:rFonts w:ascii="仿宋" w:hAnsi="仿宋" w:eastAsia="仿宋"/>
                <w:sz w:val="24"/>
              </w:rPr>
            </w:pPr>
            <w:r>
              <w:rPr>
                <w:rFonts w:hint="eastAsia" w:ascii="仿宋" w:hAnsi="仿宋" w:eastAsia="仿宋_GB2312" w:cs="仿宋_GB2312"/>
                <w:sz w:val="24"/>
              </w:rPr>
              <w:t>抵押到期日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82" w:type="dxa"/>
            <w:vMerge w:val="continue"/>
            <w:noWrap w:val="0"/>
            <w:vAlign w:val="center"/>
          </w:tcPr>
          <w:p>
            <w:pPr>
              <w:jc w:val="center"/>
              <w:rPr>
                <w:rFonts w:ascii="仿宋" w:hAnsi="仿宋" w:eastAsia="仿宋"/>
                <w:sz w:val="24"/>
              </w:rPr>
            </w:pPr>
          </w:p>
        </w:tc>
        <w:tc>
          <w:tcPr>
            <w:tcW w:w="1269" w:type="dxa"/>
            <w:vMerge w:val="continue"/>
            <w:noWrap w:val="0"/>
            <w:vAlign w:val="center"/>
          </w:tcPr>
          <w:p>
            <w:pPr>
              <w:jc w:val="center"/>
              <w:rPr>
                <w:rFonts w:ascii="仿宋" w:hAnsi="仿宋" w:eastAsia="仿宋"/>
                <w:sz w:val="24"/>
              </w:rPr>
            </w:pPr>
          </w:p>
        </w:tc>
        <w:tc>
          <w:tcPr>
            <w:tcW w:w="3119" w:type="dxa"/>
            <w:gridSpan w:val="4"/>
            <w:noWrap w:val="0"/>
            <w:vAlign w:val="center"/>
          </w:tcPr>
          <w:p>
            <w:pPr>
              <w:jc w:val="center"/>
              <w:rPr>
                <w:rFonts w:ascii="仿宋" w:hAnsi="仿宋" w:eastAsia="仿宋"/>
                <w:sz w:val="24"/>
              </w:rPr>
            </w:pPr>
          </w:p>
        </w:tc>
        <w:tc>
          <w:tcPr>
            <w:tcW w:w="1984" w:type="dxa"/>
            <w:gridSpan w:val="4"/>
            <w:noWrap w:val="0"/>
            <w:vAlign w:val="center"/>
          </w:tcPr>
          <w:p>
            <w:pPr>
              <w:jc w:val="center"/>
              <w:rPr>
                <w:rFonts w:ascii="仿宋" w:hAnsi="仿宋" w:eastAsia="仿宋"/>
                <w:sz w:val="24"/>
              </w:rPr>
            </w:pPr>
          </w:p>
        </w:tc>
        <w:tc>
          <w:tcPr>
            <w:tcW w:w="1621" w:type="dxa"/>
            <w:gridSpan w:val="2"/>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8675" w:type="dxa"/>
            <w:gridSpan w:val="12"/>
            <w:noWrap w:val="0"/>
            <w:vAlign w:val="top"/>
          </w:tcPr>
          <w:p>
            <w:pPr>
              <w:rPr>
                <w:rFonts w:ascii="仿宋" w:hAnsi="仿宋" w:eastAsia="仿宋_GB2312"/>
                <w:sz w:val="24"/>
              </w:rPr>
            </w:pPr>
          </w:p>
          <w:p>
            <w:pPr>
              <w:rPr>
                <w:rFonts w:hint="eastAsia" w:ascii="仿宋" w:hAnsi="仿宋" w:eastAsia="仿宋_GB2312" w:cs="黑体"/>
                <w:sz w:val="24"/>
              </w:rPr>
            </w:pPr>
            <w:r>
              <w:rPr>
                <w:rFonts w:hint="eastAsia" w:ascii="仿宋" w:hAnsi="仿宋" w:eastAsia="仿宋_GB2312" w:cs="黑体"/>
                <w:sz w:val="24"/>
              </w:rPr>
              <w:t>法定代表人签字：</w:t>
            </w:r>
          </w:p>
          <w:p>
            <w:pPr>
              <w:pStyle w:val="2"/>
              <w:rPr>
                <w:rFonts w:hint="eastAsia" w:ascii="仿宋" w:hAnsi="仿宋" w:eastAsia="仿宋_GB2312" w:cs="黑体"/>
                <w:sz w:val="24"/>
              </w:rPr>
            </w:pPr>
          </w:p>
          <w:p>
            <w:pPr>
              <w:pStyle w:val="2"/>
              <w:rPr>
                <w:rFonts w:hint="eastAsia" w:ascii="仿宋" w:hAnsi="仿宋" w:eastAsia="仿宋_GB2312" w:cs="黑体"/>
                <w:sz w:val="24"/>
              </w:rPr>
            </w:pPr>
          </w:p>
          <w:p>
            <w:pPr>
              <w:ind w:firstLine="5880" w:firstLineChars="2450"/>
              <w:rPr>
                <w:rFonts w:hint="eastAsia" w:ascii="仿宋" w:hAnsi="仿宋" w:eastAsia="仿宋_GB2312" w:cs="宋体"/>
                <w:sz w:val="24"/>
              </w:rPr>
            </w:pPr>
            <w:r>
              <w:rPr>
                <w:rFonts w:hint="eastAsia" w:ascii="仿宋" w:hAnsi="仿宋" w:eastAsia="仿宋_GB2312" w:cs="宋体"/>
                <w:sz w:val="24"/>
              </w:rPr>
              <w:t>申请单位公章</w:t>
            </w:r>
          </w:p>
          <w:p>
            <w:pPr>
              <w:wordWrap w:val="0"/>
              <w:jc w:val="right"/>
              <w:rPr>
                <w:rFonts w:hint="default" w:ascii="仿宋" w:hAnsi="仿宋" w:eastAsia="仿宋" w:cs="宋体"/>
                <w:sz w:val="24"/>
                <w:lang w:val="en-US" w:eastAsia="zh-CN"/>
              </w:rPr>
            </w:pPr>
            <w:r>
              <w:rPr>
                <w:rFonts w:hint="eastAsia" w:ascii="仿宋" w:hAnsi="仿宋" w:eastAsia="仿宋_GB2312" w:cs="宋体"/>
                <w:sz w:val="24"/>
              </w:rPr>
              <w:t>年</w:t>
            </w:r>
            <w:r>
              <w:rPr>
                <w:rFonts w:hint="eastAsia" w:ascii="仿宋" w:hAnsi="仿宋" w:eastAsia="仿宋_GB2312" w:cs="宋体"/>
                <w:sz w:val="24"/>
                <w:lang w:val="en-US" w:eastAsia="zh-CN"/>
              </w:rPr>
              <w:t xml:space="preserve">    </w:t>
            </w:r>
            <w:r>
              <w:rPr>
                <w:rFonts w:hint="eastAsia" w:ascii="仿宋" w:hAnsi="仿宋" w:eastAsia="仿宋_GB2312" w:cs="宋体"/>
                <w:sz w:val="24"/>
              </w:rPr>
              <w:t>月</w:t>
            </w:r>
            <w:r>
              <w:rPr>
                <w:rFonts w:hint="eastAsia" w:ascii="仿宋" w:hAnsi="仿宋" w:eastAsia="仿宋_GB2312" w:cs="宋体"/>
                <w:sz w:val="24"/>
                <w:lang w:val="en-US" w:eastAsia="zh-CN"/>
              </w:rPr>
              <w:t xml:space="preserve">    </w:t>
            </w:r>
            <w:r>
              <w:rPr>
                <w:rFonts w:hint="eastAsia" w:ascii="仿宋" w:hAnsi="仿宋" w:eastAsia="仿宋_GB2312" w:cs="宋体"/>
                <w:sz w:val="24"/>
              </w:rPr>
              <w:t>日</w:t>
            </w:r>
            <w:r>
              <w:rPr>
                <w:rFonts w:hint="eastAsia" w:ascii="仿宋" w:hAnsi="仿宋" w:eastAsia="仿宋_GB2312" w:cs="宋体"/>
                <w:sz w:val="24"/>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right="91"/>
        <w:textAlignment w:val="auto"/>
        <w:rPr>
          <w:rFonts w:hint="default" w:ascii="Times New Roman" w:hAnsi="Times New Roman" w:eastAsia="仿宋_GB2312" w:cs="Times New Roman"/>
          <w:spacing w:val="7"/>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67779"/>
    <w:multiLevelType w:val="singleLevel"/>
    <w:tmpl w:val="3B96777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ZGU3OGRmN2E5MDE3ZmIzMjQzNmI5M2YwOWMzMzYifQ=="/>
  </w:docVars>
  <w:rsids>
    <w:rsidRoot w:val="00000000"/>
    <w:rsid w:val="000074F0"/>
    <w:rsid w:val="0047108C"/>
    <w:rsid w:val="00BA1A55"/>
    <w:rsid w:val="01F61E10"/>
    <w:rsid w:val="03D15AE2"/>
    <w:rsid w:val="05557E26"/>
    <w:rsid w:val="05F824FB"/>
    <w:rsid w:val="06135539"/>
    <w:rsid w:val="07F20659"/>
    <w:rsid w:val="0A943ED4"/>
    <w:rsid w:val="0CA041F5"/>
    <w:rsid w:val="0E746B74"/>
    <w:rsid w:val="0EC75A69"/>
    <w:rsid w:val="0F933B9D"/>
    <w:rsid w:val="11FB36E8"/>
    <w:rsid w:val="137D0DEC"/>
    <w:rsid w:val="155344FA"/>
    <w:rsid w:val="159C1804"/>
    <w:rsid w:val="16224D17"/>
    <w:rsid w:val="18C13F1E"/>
    <w:rsid w:val="19AF3D76"/>
    <w:rsid w:val="19F049D2"/>
    <w:rsid w:val="1A9F02E2"/>
    <w:rsid w:val="1AFB23AB"/>
    <w:rsid w:val="1CE2569C"/>
    <w:rsid w:val="1E442A4F"/>
    <w:rsid w:val="1EAE5C65"/>
    <w:rsid w:val="1F710084"/>
    <w:rsid w:val="1F861224"/>
    <w:rsid w:val="20F63F8C"/>
    <w:rsid w:val="21F619A4"/>
    <w:rsid w:val="222F70DD"/>
    <w:rsid w:val="2243557A"/>
    <w:rsid w:val="232E0A37"/>
    <w:rsid w:val="23A336AC"/>
    <w:rsid w:val="243162F8"/>
    <w:rsid w:val="24495C57"/>
    <w:rsid w:val="24AA5F2B"/>
    <w:rsid w:val="25333A00"/>
    <w:rsid w:val="255C1030"/>
    <w:rsid w:val="256B0C63"/>
    <w:rsid w:val="26E431C8"/>
    <w:rsid w:val="291C3A86"/>
    <w:rsid w:val="292F4638"/>
    <w:rsid w:val="2B004385"/>
    <w:rsid w:val="2BAB4952"/>
    <w:rsid w:val="2C031008"/>
    <w:rsid w:val="2CB86F50"/>
    <w:rsid w:val="2D895ECA"/>
    <w:rsid w:val="2E7949E6"/>
    <w:rsid w:val="2EB50401"/>
    <w:rsid w:val="300E60FC"/>
    <w:rsid w:val="303E14AB"/>
    <w:rsid w:val="311041D6"/>
    <w:rsid w:val="319E48F7"/>
    <w:rsid w:val="31B9528D"/>
    <w:rsid w:val="32491C1C"/>
    <w:rsid w:val="32D14858"/>
    <w:rsid w:val="32DA195F"/>
    <w:rsid w:val="33BF462B"/>
    <w:rsid w:val="35B95D54"/>
    <w:rsid w:val="3668710A"/>
    <w:rsid w:val="36DE4A8C"/>
    <w:rsid w:val="373A3F84"/>
    <w:rsid w:val="37D477B8"/>
    <w:rsid w:val="38070681"/>
    <w:rsid w:val="3BE63123"/>
    <w:rsid w:val="3D273BE7"/>
    <w:rsid w:val="3FE46951"/>
    <w:rsid w:val="40596D74"/>
    <w:rsid w:val="4061546E"/>
    <w:rsid w:val="41A26E4F"/>
    <w:rsid w:val="45394081"/>
    <w:rsid w:val="45D86D8A"/>
    <w:rsid w:val="45E22BAD"/>
    <w:rsid w:val="460C7193"/>
    <w:rsid w:val="464C44CA"/>
    <w:rsid w:val="4686245E"/>
    <w:rsid w:val="46DC584E"/>
    <w:rsid w:val="46FB7453"/>
    <w:rsid w:val="47C65C99"/>
    <w:rsid w:val="47CC658C"/>
    <w:rsid w:val="47DA4220"/>
    <w:rsid w:val="48EF7315"/>
    <w:rsid w:val="491718E8"/>
    <w:rsid w:val="4DB76130"/>
    <w:rsid w:val="4E0B2B6A"/>
    <w:rsid w:val="52350508"/>
    <w:rsid w:val="527A416D"/>
    <w:rsid w:val="53861D4A"/>
    <w:rsid w:val="55F40018"/>
    <w:rsid w:val="564E1B99"/>
    <w:rsid w:val="577E64AD"/>
    <w:rsid w:val="57B3607D"/>
    <w:rsid w:val="586D43B0"/>
    <w:rsid w:val="58C425E6"/>
    <w:rsid w:val="59882BEF"/>
    <w:rsid w:val="5B535F4C"/>
    <w:rsid w:val="5B7C4AB2"/>
    <w:rsid w:val="5C8C52B2"/>
    <w:rsid w:val="5CE70651"/>
    <w:rsid w:val="5DF734B0"/>
    <w:rsid w:val="5E9465B6"/>
    <w:rsid w:val="609A6A0E"/>
    <w:rsid w:val="61481234"/>
    <w:rsid w:val="61585574"/>
    <w:rsid w:val="62F31AFE"/>
    <w:rsid w:val="63151D4E"/>
    <w:rsid w:val="6327704E"/>
    <w:rsid w:val="63E87188"/>
    <w:rsid w:val="643B2CAC"/>
    <w:rsid w:val="647E1526"/>
    <w:rsid w:val="65AB2B63"/>
    <w:rsid w:val="65DB265A"/>
    <w:rsid w:val="67483891"/>
    <w:rsid w:val="67EB5567"/>
    <w:rsid w:val="69B2516A"/>
    <w:rsid w:val="6BF722F6"/>
    <w:rsid w:val="6C054650"/>
    <w:rsid w:val="6C77379F"/>
    <w:rsid w:val="6C986F64"/>
    <w:rsid w:val="6CC85DA9"/>
    <w:rsid w:val="6DBF2F69"/>
    <w:rsid w:val="6E1D0376"/>
    <w:rsid w:val="6F1F1ECC"/>
    <w:rsid w:val="71A212BE"/>
    <w:rsid w:val="73B524D9"/>
    <w:rsid w:val="74845D7A"/>
    <w:rsid w:val="754206C3"/>
    <w:rsid w:val="75A373B3"/>
    <w:rsid w:val="762324E0"/>
    <w:rsid w:val="766A2114"/>
    <w:rsid w:val="79375A30"/>
    <w:rsid w:val="7AD05691"/>
    <w:rsid w:val="7ADC45FF"/>
    <w:rsid w:val="7BD80812"/>
    <w:rsid w:val="7BE424D4"/>
    <w:rsid w:val="7C8C53E6"/>
    <w:rsid w:val="7F47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大标题"/>
    <w:basedOn w:val="7"/>
    <w:qFormat/>
    <w:uiPriority w:val="0"/>
    <w:pPr>
      <w:ind w:firstLine="0" w:firstLineChars="0"/>
      <w:jc w:val="center"/>
    </w:pPr>
    <w:rPr>
      <w:rFonts w:ascii="宋体" w:hAnsi="宋体" w:eastAsia="宋体"/>
      <w:b/>
      <w:sz w:val="44"/>
    </w:rPr>
  </w:style>
  <w:style w:type="paragraph" w:customStyle="1" w:styleId="7">
    <w:name w:val="材料正文"/>
    <w:basedOn w:val="1"/>
    <w:qFormat/>
    <w:uiPriority w:val="0"/>
    <w:pPr>
      <w:spacing w:line="580" w:lineRule="exact"/>
      <w:ind w:firstLine="200" w:firstLineChars="200"/>
    </w:pPr>
    <w:rPr>
      <w:rFonts w:ascii="Times New Roman" w:hAnsi="Times New Roman" w:eastAsia="仿宋_GB2312"/>
      <w:sz w:val="32"/>
      <w:szCs w:val="21"/>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5737</Words>
  <Characters>5906</Characters>
  <Lines>0</Lines>
  <Paragraphs>0</Paragraphs>
  <TotalTime>18</TotalTime>
  <ScaleCrop>false</ScaleCrop>
  <LinksUpToDate>false</LinksUpToDate>
  <CharactersWithSpaces>6048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2023-03-13T16:36:00Z</dcterms:created>
  <dc:creator>李宸</dc:creator>
  <cp:lastModifiedBy>李宸</cp:lastModifiedBy>
  <dcterms:modified xsi:type="dcterms:W3CDTF">2023-03-23T03:07:02Z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93ADDFFA0A834502B88C10C5578F858A</vt:lpwstr>
  </property>
</Properties>
</file>